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FD" w:rsidRPr="00084CD2" w:rsidRDefault="00F0743D" w:rsidP="00A400FD">
      <w:pPr>
        <w:autoSpaceDE/>
        <w:autoSpaceDN/>
        <w:adjustRightInd/>
        <w:spacing w:after="0"/>
        <w:jc w:val="left"/>
        <w:rPr>
          <w:rFonts w:cs="Arial"/>
          <w:highlight w:val="yellow"/>
        </w:rPr>
        <w:sectPr w:rsidR="00A400FD" w:rsidRPr="00084CD2" w:rsidSect="00A400FD">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bookmarkStart w:id="0" w:name="_GoBack"/>
      <w:bookmarkEnd w:id="0"/>
      <w:r w:rsidRPr="00084CD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0FD" w:rsidRDefault="007B1E59" w:rsidP="00A400FD">
                            <w:pPr>
                              <w:spacing w:after="0"/>
                              <w:ind w:right="-46"/>
                              <w:jc w:val="left"/>
                              <w:rPr>
                                <w:rFonts w:cs="Arial"/>
                                <w:b/>
                                <w:bCs/>
                                <w:sz w:val="52"/>
                                <w:szCs w:val="52"/>
                              </w:rPr>
                            </w:pPr>
                          </w:p>
                          <w:p w:rsidR="00A400FD" w:rsidRDefault="00F0743D" w:rsidP="00A400FD">
                            <w:pPr>
                              <w:spacing w:after="0"/>
                              <w:ind w:right="-46"/>
                              <w:jc w:val="left"/>
                              <w:rPr>
                                <w:rFonts w:cs="Arial"/>
                                <w:b/>
                                <w:bCs/>
                                <w:sz w:val="52"/>
                                <w:szCs w:val="52"/>
                              </w:rPr>
                            </w:pPr>
                            <w:r>
                              <w:rPr>
                                <w:rFonts w:cs="Arial"/>
                                <w:b/>
                                <w:bCs/>
                                <w:sz w:val="52"/>
                                <w:szCs w:val="52"/>
                              </w:rPr>
                              <w:t>Money Matters</w:t>
                            </w:r>
                          </w:p>
                          <w:p w:rsidR="00A400FD" w:rsidRDefault="00F0743D" w:rsidP="00A400FD">
                            <w:pPr>
                              <w:spacing w:after="0"/>
                              <w:ind w:right="-46"/>
                              <w:jc w:val="left"/>
                              <w:rPr>
                                <w:rFonts w:cs="Arial"/>
                                <w:b/>
                                <w:bCs/>
                                <w:sz w:val="52"/>
                                <w:szCs w:val="52"/>
                              </w:rPr>
                            </w:pPr>
                            <w:r>
                              <w:rPr>
                                <w:rFonts w:cs="Arial"/>
                                <w:b/>
                                <w:bCs/>
                                <w:sz w:val="52"/>
                                <w:szCs w:val="52"/>
                              </w:rPr>
                              <w:t>Financial Outlook for the County Council</w:t>
                            </w:r>
                          </w:p>
                          <w:p w:rsidR="00A400FD" w:rsidRDefault="00F0743D" w:rsidP="00A400FD">
                            <w:pPr>
                              <w:spacing w:after="0"/>
                              <w:ind w:right="-46"/>
                              <w:jc w:val="left"/>
                              <w:rPr>
                                <w:rFonts w:cs="Arial"/>
                                <w:b/>
                                <w:bCs/>
                                <w:sz w:val="52"/>
                                <w:szCs w:val="52"/>
                              </w:rPr>
                            </w:pPr>
                            <w:r>
                              <w:rPr>
                                <w:rFonts w:cs="Arial"/>
                                <w:b/>
                                <w:bCs/>
                                <w:sz w:val="52"/>
                                <w:szCs w:val="52"/>
                              </w:rPr>
                              <w:t>Medium Term Financial Strategy &amp; Reserves as at 30</w:t>
                            </w:r>
                            <w:r w:rsidRPr="00084CD2">
                              <w:rPr>
                                <w:rFonts w:cs="Arial"/>
                                <w:b/>
                                <w:bCs/>
                                <w:sz w:val="52"/>
                                <w:szCs w:val="52"/>
                                <w:vertAlign w:val="superscript"/>
                              </w:rPr>
                              <w:t>th</w:t>
                            </w:r>
                            <w:r>
                              <w:rPr>
                                <w:rFonts w:cs="Arial"/>
                                <w:b/>
                                <w:bCs/>
                                <w:sz w:val="52"/>
                                <w:szCs w:val="52"/>
                              </w:rPr>
                              <w:t xml:space="preserve"> June 2018</w:t>
                            </w:r>
                          </w:p>
                          <w:p w:rsidR="00A400FD" w:rsidRPr="0037393E" w:rsidRDefault="007B1E59" w:rsidP="00A400FD">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rsidR="00A400FD" w:rsidRDefault="007B1E59" w:rsidP="00A400FD">
                      <w:pPr>
                        <w:spacing w:after="0"/>
                        <w:ind w:right="-46"/>
                        <w:jc w:val="left"/>
                        <w:rPr>
                          <w:rFonts w:cs="Arial"/>
                          <w:b/>
                          <w:bCs/>
                          <w:sz w:val="52"/>
                          <w:szCs w:val="52"/>
                        </w:rPr>
                      </w:pPr>
                    </w:p>
                    <w:p w:rsidR="00A400FD" w:rsidRDefault="00F0743D" w:rsidP="00A400FD">
                      <w:pPr>
                        <w:spacing w:after="0"/>
                        <w:ind w:right="-46"/>
                        <w:jc w:val="left"/>
                        <w:rPr>
                          <w:rFonts w:cs="Arial"/>
                          <w:b/>
                          <w:bCs/>
                          <w:sz w:val="52"/>
                          <w:szCs w:val="52"/>
                        </w:rPr>
                      </w:pPr>
                      <w:r>
                        <w:rPr>
                          <w:rFonts w:cs="Arial"/>
                          <w:b/>
                          <w:bCs/>
                          <w:sz w:val="52"/>
                          <w:szCs w:val="52"/>
                        </w:rPr>
                        <w:t>Money Matters</w:t>
                      </w:r>
                    </w:p>
                    <w:p w:rsidR="00A400FD" w:rsidRDefault="00F0743D" w:rsidP="00A400FD">
                      <w:pPr>
                        <w:spacing w:after="0"/>
                        <w:ind w:right="-46"/>
                        <w:jc w:val="left"/>
                        <w:rPr>
                          <w:rFonts w:cs="Arial"/>
                          <w:b/>
                          <w:bCs/>
                          <w:sz w:val="52"/>
                          <w:szCs w:val="52"/>
                        </w:rPr>
                      </w:pPr>
                      <w:r>
                        <w:rPr>
                          <w:rFonts w:cs="Arial"/>
                          <w:b/>
                          <w:bCs/>
                          <w:sz w:val="52"/>
                          <w:szCs w:val="52"/>
                        </w:rPr>
                        <w:t>Financial Outlook for the County Council</w:t>
                      </w:r>
                    </w:p>
                    <w:p w:rsidR="00A400FD" w:rsidRDefault="00F0743D" w:rsidP="00A400FD">
                      <w:pPr>
                        <w:spacing w:after="0"/>
                        <w:ind w:right="-46"/>
                        <w:jc w:val="left"/>
                        <w:rPr>
                          <w:rFonts w:cs="Arial"/>
                          <w:b/>
                          <w:bCs/>
                          <w:sz w:val="52"/>
                          <w:szCs w:val="52"/>
                        </w:rPr>
                      </w:pPr>
                      <w:r>
                        <w:rPr>
                          <w:rFonts w:cs="Arial"/>
                          <w:b/>
                          <w:bCs/>
                          <w:sz w:val="52"/>
                          <w:szCs w:val="52"/>
                        </w:rPr>
                        <w:t>Medium Term Financial Strategy &amp; Reserves as at 30</w:t>
                      </w:r>
                      <w:r w:rsidRPr="00084CD2">
                        <w:rPr>
                          <w:rFonts w:cs="Arial"/>
                          <w:b/>
                          <w:bCs/>
                          <w:sz w:val="52"/>
                          <w:szCs w:val="52"/>
                          <w:vertAlign w:val="superscript"/>
                        </w:rPr>
                        <w:t>th</w:t>
                      </w:r>
                      <w:r>
                        <w:rPr>
                          <w:rFonts w:cs="Arial"/>
                          <w:b/>
                          <w:bCs/>
                          <w:sz w:val="52"/>
                          <w:szCs w:val="52"/>
                        </w:rPr>
                        <w:t xml:space="preserve"> June 2018</w:t>
                      </w:r>
                    </w:p>
                    <w:p w:rsidR="00A400FD" w:rsidRPr="0037393E" w:rsidRDefault="007B1E59" w:rsidP="00A400FD">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C54E82" w:rsidTr="00A400FD">
        <w:trPr>
          <w:trHeight w:val="699"/>
        </w:trPr>
        <w:tc>
          <w:tcPr>
            <w:tcW w:w="562" w:type="dxa"/>
            <w:vAlign w:val="center"/>
          </w:tcPr>
          <w:p w:rsidR="00A400FD" w:rsidRPr="008F0B90" w:rsidRDefault="007B1E59" w:rsidP="00A400FD">
            <w:pPr>
              <w:spacing w:after="0"/>
              <w:ind w:right="-46"/>
              <w:jc w:val="center"/>
              <w:rPr>
                <w:rFonts w:cs="Arial"/>
                <w:b/>
                <w:bCs/>
              </w:rPr>
            </w:pPr>
          </w:p>
        </w:tc>
        <w:tc>
          <w:tcPr>
            <w:tcW w:w="5437" w:type="dxa"/>
            <w:vAlign w:val="center"/>
          </w:tcPr>
          <w:p w:rsidR="00A400FD" w:rsidRPr="008F0B90" w:rsidRDefault="00F0743D" w:rsidP="00A400FD">
            <w:pPr>
              <w:spacing w:after="0"/>
              <w:ind w:right="-46"/>
              <w:jc w:val="center"/>
              <w:rPr>
                <w:rFonts w:cs="Arial"/>
                <w:b/>
                <w:bCs/>
              </w:rPr>
            </w:pPr>
            <w:r w:rsidRPr="008F0B90">
              <w:rPr>
                <w:rFonts w:cs="Arial"/>
                <w:b/>
                <w:bCs/>
              </w:rPr>
              <w:t>Contents</w:t>
            </w:r>
          </w:p>
        </w:tc>
        <w:tc>
          <w:tcPr>
            <w:tcW w:w="3017" w:type="dxa"/>
            <w:vAlign w:val="center"/>
          </w:tcPr>
          <w:p w:rsidR="00A400FD" w:rsidRPr="008F0B90" w:rsidRDefault="00F0743D" w:rsidP="00A400FD">
            <w:pPr>
              <w:spacing w:after="0"/>
              <w:ind w:right="-46"/>
              <w:jc w:val="center"/>
              <w:rPr>
                <w:rFonts w:cs="Arial"/>
                <w:b/>
                <w:bCs/>
              </w:rPr>
            </w:pPr>
            <w:r w:rsidRPr="008F0B90">
              <w:rPr>
                <w:rFonts w:cs="Arial"/>
                <w:b/>
                <w:bCs/>
              </w:rPr>
              <w:t>Page</w:t>
            </w:r>
          </w:p>
        </w:tc>
      </w:tr>
      <w:tr w:rsidR="00C54E82" w:rsidTr="00A400FD">
        <w:tc>
          <w:tcPr>
            <w:tcW w:w="562" w:type="dxa"/>
            <w:vAlign w:val="center"/>
          </w:tcPr>
          <w:p w:rsidR="00A400FD" w:rsidRPr="008F0B90" w:rsidRDefault="00F0743D" w:rsidP="00A400FD">
            <w:pPr>
              <w:spacing w:after="0"/>
              <w:ind w:right="-46"/>
              <w:jc w:val="center"/>
              <w:rPr>
                <w:rFonts w:cs="Arial"/>
                <w:b/>
                <w:bCs/>
              </w:rPr>
            </w:pPr>
            <w:r w:rsidRPr="008F0B90">
              <w:rPr>
                <w:rFonts w:cs="Arial"/>
                <w:b/>
                <w:bCs/>
              </w:rPr>
              <w:t>1</w:t>
            </w:r>
          </w:p>
        </w:tc>
        <w:tc>
          <w:tcPr>
            <w:tcW w:w="5437" w:type="dxa"/>
            <w:vAlign w:val="center"/>
          </w:tcPr>
          <w:p w:rsidR="00A400FD" w:rsidRPr="008F0B90" w:rsidRDefault="007B1E59" w:rsidP="00A400FD">
            <w:pPr>
              <w:spacing w:after="0"/>
              <w:ind w:right="-46"/>
              <w:rPr>
                <w:rFonts w:cs="Arial"/>
                <w:b/>
                <w:bCs/>
              </w:rPr>
            </w:pPr>
          </w:p>
          <w:p w:rsidR="00A400FD" w:rsidRPr="008F0B90" w:rsidRDefault="00F0743D" w:rsidP="00A400FD">
            <w:pPr>
              <w:spacing w:after="0"/>
              <w:ind w:right="-46"/>
              <w:rPr>
                <w:rFonts w:cs="Arial"/>
                <w:b/>
                <w:bCs/>
              </w:rPr>
            </w:pPr>
            <w:r w:rsidRPr="008F0B90">
              <w:rPr>
                <w:rFonts w:cs="Arial"/>
                <w:b/>
                <w:bCs/>
              </w:rPr>
              <w:t>Executive Summary</w:t>
            </w:r>
          </w:p>
          <w:p w:rsidR="00A400FD" w:rsidRPr="008F0B90" w:rsidRDefault="007B1E59" w:rsidP="00A400FD">
            <w:pPr>
              <w:spacing w:after="0"/>
              <w:ind w:right="-46"/>
              <w:rPr>
                <w:rFonts w:cs="Arial"/>
                <w:b/>
                <w:bCs/>
              </w:rPr>
            </w:pPr>
          </w:p>
        </w:tc>
        <w:tc>
          <w:tcPr>
            <w:tcW w:w="3017" w:type="dxa"/>
            <w:vAlign w:val="center"/>
          </w:tcPr>
          <w:p w:rsidR="00A400FD" w:rsidRPr="008F0B90" w:rsidRDefault="00F0743D" w:rsidP="00A400FD">
            <w:pPr>
              <w:spacing w:after="0"/>
              <w:ind w:right="-46"/>
              <w:jc w:val="center"/>
              <w:rPr>
                <w:rFonts w:cs="Arial"/>
                <w:b/>
                <w:bCs/>
              </w:rPr>
            </w:pPr>
            <w:r>
              <w:rPr>
                <w:rFonts w:cs="Arial"/>
                <w:b/>
                <w:bCs/>
              </w:rPr>
              <w:t>3</w:t>
            </w:r>
          </w:p>
        </w:tc>
      </w:tr>
      <w:tr w:rsidR="00C54E82" w:rsidTr="00A400FD">
        <w:tc>
          <w:tcPr>
            <w:tcW w:w="562" w:type="dxa"/>
            <w:vAlign w:val="center"/>
          </w:tcPr>
          <w:p w:rsidR="00A400FD" w:rsidRPr="008F0B90" w:rsidRDefault="00F0743D" w:rsidP="00A400FD">
            <w:pPr>
              <w:spacing w:after="0"/>
              <w:ind w:right="-46"/>
              <w:jc w:val="center"/>
              <w:rPr>
                <w:rFonts w:cs="Arial"/>
                <w:b/>
                <w:bCs/>
              </w:rPr>
            </w:pPr>
            <w:r w:rsidRPr="008F0B90">
              <w:rPr>
                <w:rFonts w:cs="Arial"/>
                <w:b/>
                <w:bCs/>
              </w:rPr>
              <w:t>2</w:t>
            </w:r>
          </w:p>
        </w:tc>
        <w:tc>
          <w:tcPr>
            <w:tcW w:w="5437" w:type="dxa"/>
            <w:vAlign w:val="center"/>
          </w:tcPr>
          <w:p w:rsidR="00A400FD" w:rsidRPr="008F0B90" w:rsidRDefault="007B1E59" w:rsidP="00A400FD">
            <w:pPr>
              <w:spacing w:after="0"/>
              <w:ind w:right="-46"/>
              <w:rPr>
                <w:rFonts w:cs="Arial"/>
                <w:b/>
                <w:bCs/>
              </w:rPr>
            </w:pPr>
          </w:p>
          <w:p w:rsidR="00A400FD" w:rsidRPr="008F0B90" w:rsidRDefault="00F0743D" w:rsidP="00A400FD">
            <w:pPr>
              <w:spacing w:after="0"/>
              <w:ind w:right="-46"/>
              <w:rPr>
                <w:rFonts w:cs="Arial"/>
                <w:b/>
                <w:bCs/>
              </w:rPr>
            </w:pPr>
            <w:r w:rsidRPr="008F0B90">
              <w:rPr>
                <w:rFonts w:cs="Arial"/>
                <w:b/>
                <w:bCs/>
              </w:rPr>
              <w:t>Funding</w:t>
            </w:r>
          </w:p>
          <w:p w:rsidR="00A400FD" w:rsidRPr="008F0B90" w:rsidRDefault="007B1E59" w:rsidP="00A400FD">
            <w:pPr>
              <w:spacing w:after="0"/>
              <w:ind w:right="-46"/>
              <w:rPr>
                <w:rFonts w:cs="Arial"/>
                <w:b/>
                <w:bCs/>
              </w:rPr>
            </w:pPr>
          </w:p>
        </w:tc>
        <w:tc>
          <w:tcPr>
            <w:tcW w:w="3017" w:type="dxa"/>
            <w:vAlign w:val="center"/>
          </w:tcPr>
          <w:p w:rsidR="00A400FD" w:rsidRPr="008F0B90" w:rsidRDefault="00F0743D" w:rsidP="00A400FD">
            <w:pPr>
              <w:spacing w:after="0"/>
              <w:ind w:right="-46"/>
              <w:jc w:val="center"/>
              <w:rPr>
                <w:rFonts w:cs="Arial"/>
                <w:b/>
                <w:bCs/>
              </w:rPr>
            </w:pPr>
            <w:r>
              <w:rPr>
                <w:rFonts w:cs="Arial"/>
                <w:b/>
                <w:bCs/>
              </w:rPr>
              <w:t>6</w:t>
            </w:r>
          </w:p>
        </w:tc>
      </w:tr>
      <w:tr w:rsidR="00C54E82" w:rsidTr="00A400FD">
        <w:tc>
          <w:tcPr>
            <w:tcW w:w="562" w:type="dxa"/>
            <w:vAlign w:val="center"/>
          </w:tcPr>
          <w:p w:rsidR="00A400FD" w:rsidRPr="008F0B90" w:rsidRDefault="00F0743D" w:rsidP="00A400FD">
            <w:pPr>
              <w:spacing w:after="0"/>
              <w:ind w:right="-46"/>
              <w:jc w:val="center"/>
              <w:rPr>
                <w:rFonts w:cs="Arial"/>
                <w:b/>
                <w:bCs/>
              </w:rPr>
            </w:pPr>
            <w:r w:rsidRPr="008F0B90">
              <w:rPr>
                <w:rFonts w:cs="Arial"/>
                <w:b/>
                <w:bCs/>
              </w:rPr>
              <w:t>3</w:t>
            </w:r>
          </w:p>
        </w:tc>
        <w:tc>
          <w:tcPr>
            <w:tcW w:w="5437" w:type="dxa"/>
            <w:vAlign w:val="center"/>
          </w:tcPr>
          <w:p w:rsidR="00A400FD" w:rsidRPr="008F0B90" w:rsidRDefault="007B1E59" w:rsidP="00A400FD">
            <w:pPr>
              <w:spacing w:after="0"/>
              <w:ind w:right="-46"/>
              <w:rPr>
                <w:rFonts w:cs="Arial"/>
                <w:b/>
                <w:bCs/>
              </w:rPr>
            </w:pPr>
          </w:p>
          <w:p w:rsidR="00A400FD" w:rsidRPr="008F0B90" w:rsidRDefault="00F0743D" w:rsidP="00A400FD">
            <w:pPr>
              <w:spacing w:after="0"/>
              <w:ind w:right="-46"/>
              <w:rPr>
                <w:rFonts w:cs="Arial"/>
                <w:b/>
                <w:bCs/>
              </w:rPr>
            </w:pPr>
            <w:r w:rsidRPr="008F0B90">
              <w:rPr>
                <w:rFonts w:cs="Arial"/>
                <w:b/>
                <w:bCs/>
              </w:rPr>
              <w:t xml:space="preserve">Net </w:t>
            </w:r>
            <w:r>
              <w:rPr>
                <w:rFonts w:cs="Arial"/>
                <w:b/>
                <w:bCs/>
              </w:rPr>
              <w:t xml:space="preserve">Budget Requirement </w:t>
            </w:r>
          </w:p>
          <w:p w:rsidR="00A400FD" w:rsidRPr="008F0B90" w:rsidRDefault="007B1E59" w:rsidP="00A400FD">
            <w:pPr>
              <w:spacing w:after="0"/>
              <w:ind w:right="-46"/>
              <w:rPr>
                <w:rFonts w:cs="Arial"/>
                <w:b/>
                <w:bCs/>
              </w:rPr>
            </w:pPr>
          </w:p>
        </w:tc>
        <w:tc>
          <w:tcPr>
            <w:tcW w:w="3017" w:type="dxa"/>
            <w:vAlign w:val="center"/>
          </w:tcPr>
          <w:p w:rsidR="00A400FD" w:rsidRPr="008F0B90" w:rsidRDefault="00F0743D" w:rsidP="00A400FD">
            <w:pPr>
              <w:spacing w:after="0"/>
              <w:ind w:right="-46"/>
              <w:jc w:val="center"/>
              <w:rPr>
                <w:rFonts w:cs="Arial"/>
                <w:b/>
                <w:bCs/>
              </w:rPr>
            </w:pPr>
            <w:r>
              <w:rPr>
                <w:rFonts w:cs="Arial"/>
                <w:b/>
                <w:bCs/>
              </w:rPr>
              <w:t>9</w:t>
            </w:r>
          </w:p>
        </w:tc>
      </w:tr>
      <w:tr w:rsidR="00C54E82" w:rsidTr="00A400FD">
        <w:tc>
          <w:tcPr>
            <w:tcW w:w="562" w:type="dxa"/>
            <w:vAlign w:val="center"/>
          </w:tcPr>
          <w:p w:rsidR="00A400FD" w:rsidRPr="008F0B90" w:rsidRDefault="00F0743D" w:rsidP="00A400FD">
            <w:pPr>
              <w:spacing w:after="0"/>
              <w:ind w:right="-46"/>
              <w:jc w:val="center"/>
              <w:rPr>
                <w:rFonts w:cs="Arial"/>
                <w:b/>
                <w:bCs/>
              </w:rPr>
            </w:pPr>
            <w:r w:rsidRPr="008F0B90">
              <w:rPr>
                <w:rFonts w:cs="Arial"/>
                <w:b/>
                <w:bCs/>
              </w:rPr>
              <w:t>4</w:t>
            </w:r>
          </w:p>
        </w:tc>
        <w:tc>
          <w:tcPr>
            <w:tcW w:w="5437" w:type="dxa"/>
            <w:vAlign w:val="center"/>
          </w:tcPr>
          <w:p w:rsidR="00A400FD" w:rsidRPr="008F0B90" w:rsidRDefault="007B1E59" w:rsidP="00A400FD">
            <w:pPr>
              <w:spacing w:after="0"/>
              <w:ind w:right="-46"/>
              <w:rPr>
                <w:rFonts w:cs="Arial"/>
                <w:b/>
                <w:bCs/>
              </w:rPr>
            </w:pPr>
          </w:p>
          <w:p w:rsidR="00A400FD" w:rsidRPr="008F0B90" w:rsidRDefault="00F0743D" w:rsidP="00A400FD">
            <w:pPr>
              <w:spacing w:after="0"/>
              <w:ind w:right="-46"/>
              <w:rPr>
                <w:rFonts w:cs="Arial"/>
                <w:b/>
                <w:bCs/>
              </w:rPr>
            </w:pPr>
            <w:r w:rsidRPr="008F0B90">
              <w:rPr>
                <w:rFonts w:cs="Arial"/>
                <w:b/>
                <w:bCs/>
              </w:rPr>
              <w:t>Reserves</w:t>
            </w:r>
          </w:p>
          <w:p w:rsidR="00A400FD" w:rsidRPr="008F0B90" w:rsidRDefault="007B1E59" w:rsidP="00A400FD">
            <w:pPr>
              <w:spacing w:after="0"/>
              <w:ind w:right="-46"/>
              <w:rPr>
                <w:rFonts w:cs="Arial"/>
                <w:b/>
                <w:bCs/>
              </w:rPr>
            </w:pPr>
          </w:p>
        </w:tc>
        <w:tc>
          <w:tcPr>
            <w:tcW w:w="3017" w:type="dxa"/>
            <w:vAlign w:val="center"/>
          </w:tcPr>
          <w:p w:rsidR="00A400FD" w:rsidRPr="008F0B90" w:rsidRDefault="00F0743D" w:rsidP="00A400FD">
            <w:pPr>
              <w:spacing w:after="0"/>
              <w:ind w:right="-46"/>
              <w:jc w:val="center"/>
              <w:rPr>
                <w:rFonts w:cs="Arial"/>
                <w:b/>
                <w:bCs/>
              </w:rPr>
            </w:pPr>
            <w:r>
              <w:rPr>
                <w:rFonts w:cs="Arial"/>
                <w:b/>
                <w:bCs/>
              </w:rPr>
              <w:t>13</w:t>
            </w:r>
          </w:p>
        </w:tc>
      </w:tr>
      <w:tr w:rsidR="00C54E82" w:rsidTr="00A400FD">
        <w:tc>
          <w:tcPr>
            <w:tcW w:w="562" w:type="dxa"/>
            <w:vAlign w:val="center"/>
          </w:tcPr>
          <w:p w:rsidR="00A400FD" w:rsidRPr="008F0B90" w:rsidRDefault="007B1E59" w:rsidP="00A400FD">
            <w:pPr>
              <w:spacing w:after="0"/>
              <w:ind w:right="-46"/>
              <w:jc w:val="center"/>
              <w:rPr>
                <w:rFonts w:cs="Arial"/>
                <w:b/>
                <w:bCs/>
              </w:rPr>
            </w:pPr>
          </w:p>
          <w:p w:rsidR="00A400FD" w:rsidRPr="008F0B90" w:rsidRDefault="00F0743D" w:rsidP="00A400FD">
            <w:pPr>
              <w:spacing w:after="0"/>
              <w:ind w:right="-46"/>
              <w:jc w:val="center"/>
              <w:rPr>
                <w:rFonts w:cs="Arial"/>
                <w:b/>
                <w:bCs/>
              </w:rPr>
            </w:pPr>
            <w:r w:rsidRPr="008F0B90">
              <w:rPr>
                <w:rFonts w:cs="Arial"/>
                <w:b/>
                <w:bCs/>
              </w:rPr>
              <w:t>5</w:t>
            </w:r>
          </w:p>
          <w:p w:rsidR="00A400FD" w:rsidRPr="008F0B90" w:rsidRDefault="007B1E59" w:rsidP="00A400FD">
            <w:pPr>
              <w:spacing w:after="0"/>
              <w:ind w:right="-46"/>
              <w:jc w:val="center"/>
              <w:rPr>
                <w:rFonts w:cs="Arial"/>
                <w:b/>
                <w:bCs/>
              </w:rPr>
            </w:pPr>
          </w:p>
        </w:tc>
        <w:tc>
          <w:tcPr>
            <w:tcW w:w="5437" w:type="dxa"/>
            <w:vAlign w:val="center"/>
          </w:tcPr>
          <w:p w:rsidR="00A400FD" w:rsidRPr="008F0B90" w:rsidRDefault="00F0743D" w:rsidP="00A400FD">
            <w:pPr>
              <w:spacing w:after="0"/>
              <w:ind w:right="-46"/>
              <w:rPr>
                <w:rFonts w:cs="Arial"/>
                <w:b/>
                <w:bCs/>
              </w:rPr>
            </w:pPr>
            <w:r w:rsidRPr="008F0B90">
              <w:rPr>
                <w:rFonts w:cs="Arial"/>
                <w:b/>
                <w:bCs/>
              </w:rPr>
              <w:t>Future Risks</w:t>
            </w:r>
            <w:r>
              <w:rPr>
                <w:rFonts w:cs="Arial"/>
                <w:b/>
                <w:bCs/>
              </w:rPr>
              <w:t xml:space="preserve"> and Opportunities</w:t>
            </w:r>
          </w:p>
        </w:tc>
        <w:tc>
          <w:tcPr>
            <w:tcW w:w="3017" w:type="dxa"/>
            <w:vAlign w:val="center"/>
          </w:tcPr>
          <w:p w:rsidR="00A400FD" w:rsidRPr="008F0B90" w:rsidRDefault="00F0743D" w:rsidP="00A400FD">
            <w:pPr>
              <w:spacing w:after="0"/>
              <w:ind w:right="-46"/>
              <w:jc w:val="center"/>
              <w:rPr>
                <w:rFonts w:cs="Arial"/>
                <w:b/>
                <w:bCs/>
              </w:rPr>
            </w:pPr>
            <w:r>
              <w:rPr>
                <w:rFonts w:cs="Arial"/>
                <w:b/>
                <w:bCs/>
              </w:rPr>
              <w:t>15</w:t>
            </w:r>
          </w:p>
        </w:tc>
      </w:tr>
    </w:tbl>
    <w:p w:rsidR="00A400FD" w:rsidRPr="00084CD2" w:rsidRDefault="007B1E59" w:rsidP="00A400FD">
      <w:pPr>
        <w:spacing w:after="0"/>
        <w:ind w:right="-46"/>
        <w:rPr>
          <w:rFonts w:cs="Arial"/>
          <w:b/>
          <w:bCs/>
          <w:highlight w:val="yellow"/>
        </w:rPr>
      </w:pPr>
    </w:p>
    <w:p w:rsidR="00A400FD" w:rsidRPr="00084CD2" w:rsidRDefault="00F0743D">
      <w:pPr>
        <w:autoSpaceDE/>
        <w:autoSpaceDN/>
        <w:adjustRightInd/>
        <w:spacing w:after="0"/>
        <w:jc w:val="left"/>
        <w:rPr>
          <w:rFonts w:cs="Arial"/>
          <w:b/>
          <w:highlight w:val="yellow"/>
        </w:rPr>
      </w:pPr>
      <w:r w:rsidRPr="00084CD2">
        <w:rPr>
          <w:rFonts w:cs="Arial"/>
          <w:b/>
          <w:highlight w:val="yellow"/>
        </w:rPr>
        <w:br w:type="page"/>
      </w:r>
    </w:p>
    <w:p w:rsidR="00A400FD" w:rsidRPr="008F0B90" w:rsidRDefault="00F0743D" w:rsidP="00A400FD">
      <w:pPr>
        <w:pBdr>
          <w:bottom w:val="single" w:sz="4" w:space="1" w:color="auto"/>
        </w:pBdr>
        <w:tabs>
          <w:tab w:val="left" w:pos="567"/>
          <w:tab w:val="left" w:pos="1134"/>
        </w:tabs>
        <w:spacing w:after="0"/>
        <w:rPr>
          <w:rFonts w:cs="Arial"/>
          <w:b/>
        </w:rPr>
      </w:pPr>
      <w:r w:rsidRPr="008F0B90">
        <w:rPr>
          <w:rFonts w:cs="Arial"/>
          <w:b/>
        </w:rPr>
        <w:lastRenderedPageBreak/>
        <w:t>Financial Outlook for the County Council: Medium Term Financial Strategy</w:t>
      </w:r>
    </w:p>
    <w:p w:rsidR="00A400FD" w:rsidRPr="008F0B90" w:rsidRDefault="007B1E59" w:rsidP="00A400FD">
      <w:pPr>
        <w:tabs>
          <w:tab w:val="left" w:pos="567"/>
          <w:tab w:val="left" w:pos="1134"/>
        </w:tabs>
        <w:spacing w:after="0"/>
        <w:rPr>
          <w:rFonts w:cs="Arial"/>
        </w:rPr>
      </w:pPr>
    </w:p>
    <w:p w:rsidR="00A400FD" w:rsidRPr="008F0B90" w:rsidRDefault="00F0743D" w:rsidP="00A400FD">
      <w:pPr>
        <w:pStyle w:val="ListParagraph"/>
        <w:numPr>
          <w:ilvl w:val="0"/>
          <w:numId w:val="25"/>
        </w:numPr>
        <w:spacing w:after="0"/>
        <w:ind w:left="567" w:hanging="567"/>
        <w:rPr>
          <w:rFonts w:cs="Arial"/>
          <w:b/>
        </w:rPr>
      </w:pPr>
      <w:r w:rsidRPr="008F0B90">
        <w:rPr>
          <w:rFonts w:cs="Arial"/>
          <w:b/>
        </w:rPr>
        <w:t>Executive Summary</w:t>
      </w:r>
    </w:p>
    <w:p w:rsidR="00A400FD" w:rsidRPr="0098399E" w:rsidRDefault="007B1E59" w:rsidP="00A400FD">
      <w:pPr>
        <w:tabs>
          <w:tab w:val="left" w:pos="567"/>
          <w:tab w:val="left" w:pos="1134"/>
        </w:tabs>
        <w:spacing w:after="0"/>
        <w:rPr>
          <w:rFonts w:cs="Arial"/>
          <w:b/>
          <w:highlight w:val="yellow"/>
        </w:rPr>
      </w:pPr>
    </w:p>
    <w:p w:rsidR="00A400FD" w:rsidRDefault="00F0743D" w:rsidP="00A400FD">
      <w:pPr>
        <w:tabs>
          <w:tab w:val="left" w:pos="567"/>
          <w:tab w:val="left" w:pos="1134"/>
        </w:tabs>
        <w:spacing w:after="0"/>
        <w:rPr>
          <w:rFonts w:cs="Arial"/>
        </w:rPr>
      </w:pPr>
      <w:r>
        <w:rPr>
          <w:rFonts w:cs="Arial"/>
        </w:rPr>
        <w:t>At full council in February 2018 the</w:t>
      </w:r>
      <w:r w:rsidRPr="008F0B90">
        <w:rPr>
          <w:rFonts w:cs="Arial"/>
        </w:rPr>
        <w:t xml:space="preserve"> medium term financial s</w:t>
      </w:r>
      <w:r>
        <w:rPr>
          <w:rFonts w:cs="Arial"/>
        </w:rPr>
        <w:t>trategy (MTFS) set out a</w:t>
      </w:r>
      <w:r w:rsidRPr="008F0B90">
        <w:rPr>
          <w:rFonts w:cs="Arial"/>
        </w:rPr>
        <w:t xml:space="preserve"> forecast funding gap </w:t>
      </w:r>
      <w:r w:rsidRPr="00301123">
        <w:rPr>
          <w:rFonts w:cs="Arial"/>
        </w:rPr>
        <w:t>of £144.084m by the end</w:t>
      </w:r>
      <w:r w:rsidRPr="008F0B90">
        <w:rPr>
          <w:rFonts w:cs="Arial"/>
        </w:rPr>
        <w:t xml:space="preserve"> of the 4 year period (2018/19 – 202</w:t>
      </w:r>
      <w:r>
        <w:rPr>
          <w:rFonts w:cs="Arial"/>
        </w:rPr>
        <w:t>1/22)</w:t>
      </w:r>
      <w:r w:rsidRPr="008F0B90">
        <w:rPr>
          <w:rFonts w:cs="Arial"/>
        </w:rPr>
        <w:t>.</w:t>
      </w:r>
      <w:r>
        <w:rPr>
          <w:rFonts w:cs="Arial"/>
        </w:rPr>
        <w:t xml:space="preserve"> </w:t>
      </w:r>
      <w:r w:rsidRPr="00301123">
        <w:rPr>
          <w:rFonts w:cs="Arial"/>
        </w:rPr>
        <w:t xml:space="preserve">This report provides an updated position for the </w:t>
      </w:r>
      <w:r>
        <w:rPr>
          <w:rFonts w:cs="Arial"/>
        </w:rPr>
        <w:t xml:space="preserve">new 4 year </w:t>
      </w:r>
      <w:r w:rsidRPr="00301123">
        <w:rPr>
          <w:rFonts w:cs="Arial"/>
        </w:rPr>
        <w:t xml:space="preserve">period </w:t>
      </w:r>
      <w:r>
        <w:rPr>
          <w:rFonts w:cs="Arial"/>
        </w:rPr>
        <w:t xml:space="preserve">covering </w:t>
      </w:r>
      <w:r w:rsidRPr="00301123">
        <w:rPr>
          <w:rFonts w:cs="Arial"/>
        </w:rPr>
        <w:t>2019/20 - 2022/23 and a review of assumptions to reflect the most current information available</w:t>
      </w:r>
      <w:r w:rsidRPr="002B2673">
        <w:rPr>
          <w:rFonts w:cs="Arial"/>
        </w:rPr>
        <w:t xml:space="preserve">. </w:t>
      </w:r>
    </w:p>
    <w:p w:rsidR="00A400FD" w:rsidRDefault="007B1E59" w:rsidP="00A400FD">
      <w:pPr>
        <w:tabs>
          <w:tab w:val="left" w:pos="567"/>
          <w:tab w:val="left" w:pos="1134"/>
        </w:tabs>
        <w:spacing w:after="0"/>
        <w:rPr>
          <w:rFonts w:cs="Arial"/>
        </w:rPr>
      </w:pPr>
    </w:p>
    <w:p w:rsidR="00A400FD" w:rsidRPr="0098399E" w:rsidRDefault="00F0743D" w:rsidP="00A400FD">
      <w:pPr>
        <w:tabs>
          <w:tab w:val="left" w:pos="567"/>
          <w:tab w:val="left" w:pos="1134"/>
        </w:tabs>
        <w:spacing w:after="0"/>
        <w:rPr>
          <w:rFonts w:cs="Arial"/>
        </w:rPr>
      </w:pPr>
      <w:r>
        <w:rPr>
          <w:rFonts w:cs="Arial"/>
        </w:rPr>
        <w:t xml:space="preserve">The updated </w:t>
      </w:r>
      <w:r w:rsidRPr="002B2673">
        <w:rPr>
          <w:rFonts w:cs="Arial"/>
        </w:rPr>
        <w:t xml:space="preserve">funding gap </w:t>
      </w:r>
      <w:r>
        <w:rPr>
          <w:rFonts w:cs="Arial"/>
        </w:rPr>
        <w:t>is now</w:t>
      </w:r>
      <w:r w:rsidRPr="002B2673">
        <w:rPr>
          <w:rFonts w:cs="Arial"/>
        </w:rPr>
        <w:t xml:space="preserve"> </w:t>
      </w:r>
      <w:r>
        <w:rPr>
          <w:rFonts w:cs="Arial"/>
        </w:rPr>
        <w:t xml:space="preserve">reduced to </w:t>
      </w:r>
      <w:r w:rsidRPr="002B2673">
        <w:rPr>
          <w:rFonts w:cs="Arial"/>
        </w:rPr>
        <w:t>£135</w:t>
      </w:r>
      <w:r>
        <w:rPr>
          <w:rFonts w:cs="Arial"/>
        </w:rPr>
        <w:t>.300</w:t>
      </w:r>
      <w:r w:rsidRPr="002B2673">
        <w:rPr>
          <w:rFonts w:cs="Arial"/>
        </w:rPr>
        <w:t>m</w:t>
      </w:r>
      <w:r>
        <w:rPr>
          <w:rFonts w:cs="Arial"/>
        </w:rPr>
        <w:t xml:space="preserve"> for the period 2019/20 – 2022/23</w:t>
      </w:r>
      <w:r w:rsidRPr="002B2673">
        <w:rPr>
          <w:rFonts w:cs="Arial"/>
        </w:rPr>
        <w:t xml:space="preserve">. Improvements include </w:t>
      </w:r>
      <w:r>
        <w:rPr>
          <w:rFonts w:cs="Arial"/>
        </w:rPr>
        <w:t xml:space="preserve">an </w:t>
      </w:r>
      <w:r w:rsidRPr="002B2673">
        <w:rPr>
          <w:rFonts w:cs="Arial"/>
        </w:rPr>
        <w:t>increase</w:t>
      </w:r>
      <w:r>
        <w:rPr>
          <w:rFonts w:cs="Arial"/>
        </w:rPr>
        <w:t xml:space="preserve"> in </w:t>
      </w:r>
      <w:r w:rsidRPr="002B2673">
        <w:rPr>
          <w:rFonts w:cs="Arial"/>
        </w:rPr>
        <w:t xml:space="preserve">council tax levels </w:t>
      </w:r>
      <w:r>
        <w:rPr>
          <w:rFonts w:cs="Arial"/>
        </w:rPr>
        <w:t xml:space="preserve">due to </w:t>
      </w:r>
      <w:r w:rsidRPr="002B2673">
        <w:rPr>
          <w:rFonts w:cs="Arial"/>
        </w:rPr>
        <w:t>tax base</w:t>
      </w:r>
      <w:r>
        <w:rPr>
          <w:rFonts w:cs="Arial"/>
        </w:rPr>
        <w:t xml:space="preserve"> increases and an improved council tax collection fund position. In addition savings relating to the Minimum Revenue Provision (MRP) agreed recently by Full Council have been included. </w:t>
      </w:r>
      <w:r w:rsidRPr="002B2673">
        <w:rPr>
          <w:rFonts w:cs="Arial"/>
        </w:rPr>
        <w:t xml:space="preserve">Offsetting these improvements are </w:t>
      </w:r>
      <w:r>
        <w:rPr>
          <w:rFonts w:cs="Arial"/>
        </w:rPr>
        <w:t xml:space="preserve">in-year pressures resulting from a forecast shortfall in funding relating to capital receipts that had been assumed in the previous MTFS. </w:t>
      </w:r>
    </w:p>
    <w:p w:rsidR="00A400FD" w:rsidRPr="00084CD2" w:rsidRDefault="007B1E59" w:rsidP="00A400FD">
      <w:pPr>
        <w:tabs>
          <w:tab w:val="left" w:pos="567"/>
          <w:tab w:val="left" w:pos="1134"/>
        </w:tabs>
        <w:spacing w:after="0"/>
        <w:rPr>
          <w:rFonts w:cs="Arial"/>
          <w:highlight w:val="yellow"/>
        </w:rPr>
      </w:pPr>
    </w:p>
    <w:p w:rsidR="00A400FD" w:rsidRDefault="00F0743D" w:rsidP="00A400FD">
      <w:pPr>
        <w:tabs>
          <w:tab w:val="left" w:pos="567"/>
          <w:tab w:val="left" w:pos="1134"/>
        </w:tabs>
        <w:spacing w:after="0"/>
        <w:rPr>
          <w:rFonts w:cs="Arial"/>
        </w:rPr>
      </w:pPr>
      <w:r w:rsidRPr="002B2673">
        <w:rPr>
          <w:rFonts w:cs="Arial"/>
        </w:rPr>
        <w:t xml:space="preserve">It is important to note that the funding gap is not evenly spread, with a </w:t>
      </w:r>
      <w:r>
        <w:rPr>
          <w:rFonts w:cs="Arial"/>
        </w:rPr>
        <w:t xml:space="preserve">varying </w:t>
      </w:r>
      <w:r w:rsidRPr="002B2673">
        <w:rPr>
          <w:rFonts w:cs="Arial"/>
        </w:rPr>
        <w:t>gap</w:t>
      </w:r>
      <w:r>
        <w:rPr>
          <w:rFonts w:cs="Arial"/>
        </w:rPr>
        <w:t xml:space="preserve"> over each of the 4 years as shown in Table 1. There remains significant </w:t>
      </w:r>
      <w:r w:rsidRPr="00C849E3">
        <w:rPr>
          <w:rFonts w:cs="Arial"/>
        </w:rPr>
        <w:t xml:space="preserve">uncertainty about </w:t>
      </w:r>
      <w:r>
        <w:rPr>
          <w:rFonts w:cs="Arial"/>
        </w:rPr>
        <w:t xml:space="preserve">the </w:t>
      </w:r>
      <w:r w:rsidRPr="00C849E3">
        <w:rPr>
          <w:rFonts w:cs="Arial"/>
        </w:rPr>
        <w:t>funding</w:t>
      </w:r>
      <w:r>
        <w:rPr>
          <w:rFonts w:cs="Arial"/>
        </w:rPr>
        <w:t xml:space="preserve"> of the county council </w:t>
      </w:r>
      <w:r w:rsidRPr="00C849E3">
        <w:rPr>
          <w:rFonts w:cs="Arial"/>
        </w:rPr>
        <w:t xml:space="preserve">post 2019/20 </w:t>
      </w:r>
      <w:r>
        <w:rPr>
          <w:rFonts w:cs="Arial"/>
        </w:rPr>
        <w:t xml:space="preserve">as </w:t>
      </w:r>
      <w:r w:rsidRPr="00C849E3">
        <w:rPr>
          <w:rFonts w:cs="Arial"/>
        </w:rPr>
        <w:t>changes</w:t>
      </w:r>
      <w:r>
        <w:rPr>
          <w:rFonts w:cs="Arial"/>
        </w:rPr>
        <w:t xml:space="preserve"> will be made resulting from</w:t>
      </w:r>
      <w:r w:rsidRPr="00C849E3">
        <w:rPr>
          <w:rFonts w:cs="Arial"/>
        </w:rPr>
        <w:t xml:space="preserve"> business rates retention and the </w:t>
      </w:r>
      <w:r>
        <w:rPr>
          <w:rFonts w:cs="Arial"/>
        </w:rPr>
        <w:t xml:space="preserve">overall funding formula. These are amendments to the current funding system </w:t>
      </w:r>
      <w:r w:rsidRPr="00C849E3">
        <w:rPr>
          <w:rFonts w:cs="Arial"/>
        </w:rPr>
        <w:t>that are currently being developed and going through various pi</w:t>
      </w:r>
      <w:r>
        <w:rPr>
          <w:rFonts w:cs="Arial"/>
        </w:rPr>
        <w:t xml:space="preserve">lot and consultation processes that the County Council is actively involved in. </w:t>
      </w:r>
    </w:p>
    <w:p w:rsidR="00A400FD" w:rsidRDefault="007B1E59" w:rsidP="00A400FD">
      <w:pPr>
        <w:tabs>
          <w:tab w:val="left" w:pos="567"/>
          <w:tab w:val="left" w:pos="1134"/>
        </w:tabs>
        <w:spacing w:after="0"/>
        <w:rPr>
          <w:rFonts w:cs="Arial"/>
        </w:rPr>
      </w:pPr>
    </w:p>
    <w:p w:rsidR="00A400FD" w:rsidRDefault="00F0743D" w:rsidP="00A400FD">
      <w:pPr>
        <w:tabs>
          <w:tab w:val="left" w:pos="567"/>
          <w:tab w:val="left" w:pos="1134"/>
        </w:tabs>
        <w:spacing w:after="0"/>
        <w:rPr>
          <w:rFonts w:cs="Arial"/>
        </w:rPr>
      </w:pPr>
      <w:r>
        <w:rPr>
          <w:rFonts w:cs="Arial"/>
        </w:rPr>
        <w:t>The value of the uncommitted t</w:t>
      </w:r>
      <w:r w:rsidRPr="00924D8E">
        <w:rPr>
          <w:rFonts w:cs="Arial"/>
        </w:rPr>
        <w:t xml:space="preserve">ransitional </w:t>
      </w:r>
      <w:r>
        <w:rPr>
          <w:rFonts w:cs="Arial"/>
        </w:rPr>
        <w:t>r</w:t>
      </w:r>
      <w:r w:rsidRPr="00924D8E">
        <w:rPr>
          <w:rFonts w:cs="Arial"/>
        </w:rPr>
        <w:t xml:space="preserve">eserve is currently </w:t>
      </w:r>
      <w:r>
        <w:rPr>
          <w:rFonts w:cs="Arial"/>
        </w:rPr>
        <w:t xml:space="preserve">forecast to be </w:t>
      </w:r>
      <w:r w:rsidRPr="004C48B9">
        <w:rPr>
          <w:rFonts w:cs="Arial"/>
        </w:rPr>
        <w:t>£125.009</w:t>
      </w:r>
      <w:r>
        <w:rPr>
          <w:rFonts w:cs="Arial"/>
        </w:rPr>
        <w:t xml:space="preserve">m </w:t>
      </w:r>
      <w:r w:rsidRPr="009E125F">
        <w:rPr>
          <w:rFonts w:cs="Arial"/>
        </w:rPr>
        <w:t>by the end of March 2021</w:t>
      </w:r>
      <w:r>
        <w:rPr>
          <w:rFonts w:cs="Arial"/>
        </w:rPr>
        <w:t xml:space="preserve"> if there was no requirement for structural funding support from reserves to the 2019/20 or 2020/21 budgets. This represents an improved position from the £88.575m that was previously reported to full council in February due to a higher than forecast 2017/18 revenue underspend, a contribution to reserves reflecting a change in the Minimum Revenue Provision in 2017/18 and also some lower that forecast contributions from reserves to the revenue budget. </w:t>
      </w:r>
    </w:p>
    <w:p w:rsidR="00A400FD" w:rsidRDefault="007B1E59" w:rsidP="00A400FD">
      <w:pPr>
        <w:tabs>
          <w:tab w:val="left" w:pos="567"/>
          <w:tab w:val="left" w:pos="1134"/>
        </w:tabs>
        <w:spacing w:after="0"/>
        <w:rPr>
          <w:rFonts w:cs="Arial"/>
        </w:rPr>
      </w:pPr>
    </w:p>
    <w:p w:rsidR="00A400FD" w:rsidRDefault="00F0743D" w:rsidP="00A400FD">
      <w:pPr>
        <w:rPr>
          <w:rFonts w:cs="Arial"/>
        </w:rPr>
      </w:pPr>
      <w:r>
        <w:rPr>
          <w:rFonts w:cs="Arial"/>
        </w:rPr>
        <w:t>The impact of utilising the transitional r</w:t>
      </w:r>
      <w:r w:rsidRPr="00924D8E">
        <w:rPr>
          <w:rFonts w:cs="Arial"/>
        </w:rPr>
        <w:t xml:space="preserve">eserve to fund the </w:t>
      </w:r>
      <w:r>
        <w:rPr>
          <w:rFonts w:cs="Arial"/>
        </w:rPr>
        <w:t>£60.596</w:t>
      </w:r>
      <w:r w:rsidRPr="004A79EC">
        <w:rPr>
          <w:rFonts w:cs="Arial"/>
        </w:rPr>
        <w:t>m gap</w:t>
      </w:r>
      <w:r>
        <w:rPr>
          <w:rFonts w:cs="Arial"/>
        </w:rPr>
        <w:t xml:space="preserve"> in 2019/20</w:t>
      </w:r>
      <w:r w:rsidRPr="004A79EC">
        <w:rPr>
          <w:rFonts w:cs="Arial"/>
        </w:rPr>
        <w:t xml:space="preserve"> would leave </w:t>
      </w:r>
      <w:r>
        <w:rPr>
          <w:rFonts w:cs="Arial"/>
        </w:rPr>
        <w:t xml:space="preserve">a balance of £64.413m available to support the budget </w:t>
      </w:r>
      <w:r w:rsidRPr="004A79EC">
        <w:rPr>
          <w:rFonts w:cs="Arial"/>
        </w:rPr>
        <w:t>in 2020/21</w:t>
      </w:r>
      <w:r>
        <w:rPr>
          <w:rFonts w:cs="Arial"/>
        </w:rPr>
        <w:t xml:space="preserve">, however this will be insufficient to fully support the budget gap of £110.698m, requiring </w:t>
      </w:r>
      <w:r w:rsidRPr="00305B35">
        <w:rPr>
          <w:rFonts w:cs="Arial"/>
        </w:rPr>
        <w:t>further savings to be made.</w:t>
      </w:r>
    </w:p>
    <w:p w:rsidR="00A400FD" w:rsidRPr="00EA5289" w:rsidRDefault="00F0743D" w:rsidP="00A400FD">
      <w:pPr>
        <w:tabs>
          <w:tab w:val="left" w:pos="567"/>
          <w:tab w:val="left" w:pos="1134"/>
        </w:tabs>
        <w:spacing w:after="0"/>
        <w:rPr>
          <w:rFonts w:cs="Arial"/>
        </w:rPr>
      </w:pPr>
      <w:r>
        <w:rPr>
          <w:rFonts w:cs="Arial"/>
        </w:rPr>
        <w:t xml:space="preserve"> </w:t>
      </w:r>
      <w:r w:rsidRPr="004A79EC">
        <w:rPr>
          <w:rFonts w:cs="Arial"/>
        </w:rPr>
        <w:t xml:space="preserve"> </w:t>
      </w:r>
    </w:p>
    <w:p w:rsidR="00A400FD" w:rsidRPr="00376B3E" w:rsidRDefault="007B1E59" w:rsidP="00A400FD">
      <w:pPr>
        <w:tabs>
          <w:tab w:val="left" w:pos="6430"/>
        </w:tabs>
        <w:spacing w:after="0"/>
        <w:rPr>
          <w:rFonts w:cs="Arial"/>
          <w:b/>
          <w:highlight w:val="yellow"/>
        </w:rPr>
      </w:pPr>
    </w:p>
    <w:p w:rsidR="00A400FD" w:rsidRPr="00084CD2" w:rsidRDefault="007B1E59" w:rsidP="00A400FD">
      <w:pPr>
        <w:pStyle w:val="NoSpacing"/>
        <w:rPr>
          <w:rFonts w:cs="Arial"/>
          <w:szCs w:val="24"/>
          <w:highlight w:val="yellow"/>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Default="007B1E59" w:rsidP="00A400FD">
      <w:pPr>
        <w:pStyle w:val="NoSpacing"/>
        <w:rPr>
          <w:rFonts w:cs="Arial"/>
          <w:szCs w:val="24"/>
        </w:rPr>
      </w:pPr>
    </w:p>
    <w:p w:rsidR="00A400FD" w:rsidRPr="00C849E3" w:rsidRDefault="00F0743D" w:rsidP="00A400FD">
      <w:pPr>
        <w:pStyle w:val="NoSpacing"/>
        <w:rPr>
          <w:rFonts w:cs="Arial"/>
          <w:szCs w:val="24"/>
        </w:rPr>
      </w:pPr>
      <w:r w:rsidRPr="00C849E3">
        <w:rPr>
          <w:rFonts w:cs="Arial"/>
          <w:szCs w:val="24"/>
        </w:rPr>
        <w:t xml:space="preserve">The table </w:t>
      </w:r>
      <w:r>
        <w:rPr>
          <w:rFonts w:cs="Arial"/>
          <w:szCs w:val="24"/>
        </w:rPr>
        <w:t xml:space="preserve">below </w:t>
      </w:r>
      <w:r w:rsidRPr="00C849E3">
        <w:rPr>
          <w:rFonts w:cs="Arial"/>
          <w:szCs w:val="24"/>
        </w:rPr>
        <w:t>provides a detailed analysis of movements between the previously reported financial gap and the revised financial gap:</w:t>
      </w:r>
    </w:p>
    <w:p w:rsidR="00A400FD" w:rsidRDefault="007B1E59" w:rsidP="00A400FD">
      <w:pPr>
        <w:tabs>
          <w:tab w:val="left" w:pos="567"/>
          <w:tab w:val="left" w:pos="1134"/>
        </w:tabs>
        <w:spacing w:after="0"/>
        <w:rPr>
          <w:rFonts w:cs="Arial"/>
          <w:highlight w:val="yellow"/>
        </w:rPr>
      </w:pPr>
    </w:p>
    <w:p w:rsidR="00A400FD" w:rsidRDefault="00F0743D" w:rsidP="00A400FD">
      <w:pPr>
        <w:tabs>
          <w:tab w:val="left" w:pos="567"/>
          <w:tab w:val="left" w:pos="1134"/>
        </w:tabs>
        <w:spacing w:after="0"/>
        <w:rPr>
          <w:rFonts w:cs="Arial"/>
          <w:b/>
          <w:i/>
          <w:u w:val="single"/>
        </w:rPr>
      </w:pPr>
      <w:r w:rsidRPr="00B50858">
        <w:rPr>
          <w:rFonts w:cs="Arial"/>
          <w:b/>
          <w:i/>
          <w:u w:val="single"/>
        </w:rPr>
        <w:t>Table 1</w:t>
      </w:r>
    </w:p>
    <w:p w:rsidR="00A400FD" w:rsidRPr="00B50858" w:rsidRDefault="007B1E59" w:rsidP="00A400FD">
      <w:pPr>
        <w:tabs>
          <w:tab w:val="left" w:pos="567"/>
          <w:tab w:val="left" w:pos="1134"/>
        </w:tabs>
        <w:spacing w:after="0"/>
        <w:rPr>
          <w:rFonts w:cs="Arial"/>
          <w:b/>
          <w:i/>
          <w:u w:val="single"/>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443"/>
        <w:gridCol w:w="1443"/>
        <w:gridCol w:w="1443"/>
        <w:gridCol w:w="1444"/>
      </w:tblGrid>
      <w:tr w:rsidR="00C54E82" w:rsidTr="00A400FD">
        <w:trPr>
          <w:trHeight w:val="173"/>
        </w:trPr>
        <w:tc>
          <w:tcPr>
            <w:tcW w:w="3534" w:type="dxa"/>
            <w:shd w:val="clear" w:color="000000" w:fill="BDD7EE"/>
            <w:hideMark/>
          </w:tcPr>
          <w:p w:rsidR="00A400FD" w:rsidRPr="00D3345D" w:rsidRDefault="00F0743D" w:rsidP="00A400FD">
            <w:pPr>
              <w:autoSpaceDE/>
              <w:autoSpaceDN/>
              <w:adjustRightInd/>
              <w:spacing w:after="0"/>
              <w:jc w:val="left"/>
              <w:rPr>
                <w:rFonts w:eastAsia="Times New Roman" w:cs="Arial"/>
                <w:lang w:eastAsia="en-GB"/>
              </w:rPr>
            </w:pPr>
            <w:r w:rsidRPr="00D3345D">
              <w:rPr>
                <w:rFonts w:eastAsia="Times New Roman" w:cs="Arial"/>
                <w:lang w:eastAsia="en-GB"/>
              </w:rPr>
              <w:t> </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2019/20</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2020/21</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2021/22</w:t>
            </w:r>
          </w:p>
        </w:tc>
        <w:tc>
          <w:tcPr>
            <w:tcW w:w="1444" w:type="dxa"/>
            <w:shd w:val="clear" w:color="000000" w:fill="BDD7EE"/>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2022/23</w:t>
            </w:r>
          </w:p>
        </w:tc>
      </w:tr>
      <w:tr w:rsidR="00C54E82" w:rsidTr="00A400FD">
        <w:trPr>
          <w:trHeight w:val="300"/>
        </w:trPr>
        <w:tc>
          <w:tcPr>
            <w:tcW w:w="3534" w:type="dxa"/>
            <w:shd w:val="clear" w:color="000000" w:fill="BDD7EE"/>
            <w:hideMark/>
          </w:tcPr>
          <w:p w:rsidR="00A400FD" w:rsidRPr="00D3345D" w:rsidRDefault="00F0743D" w:rsidP="00A400FD">
            <w:pPr>
              <w:autoSpaceDE/>
              <w:autoSpaceDN/>
              <w:adjustRightInd/>
              <w:spacing w:after="0"/>
              <w:jc w:val="left"/>
              <w:rPr>
                <w:rFonts w:eastAsia="Times New Roman" w:cs="Arial"/>
                <w:lang w:eastAsia="en-GB"/>
              </w:rPr>
            </w:pPr>
            <w:r w:rsidRPr="00D3345D">
              <w:rPr>
                <w:rFonts w:eastAsia="Times New Roman" w:cs="Arial"/>
                <w:lang w:eastAsia="en-GB"/>
              </w:rPr>
              <w:t> </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£m</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£m</w:t>
            </w:r>
          </w:p>
        </w:tc>
        <w:tc>
          <w:tcPr>
            <w:tcW w:w="1443" w:type="dxa"/>
            <w:shd w:val="clear" w:color="000000" w:fill="BDD7EE"/>
            <w:vAlign w:val="center"/>
            <w:hideMark/>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£m</w:t>
            </w:r>
          </w:p>
        </w:tc>
        <w:tc>
          <w:tcPr>
            <w:tcW w:w="1444" w:type="dxa"/>
            <w:shd w:val="clear" w:color="000000" w:fill="BDD7EE"/>
          </w:tcPr>
          <w:p w:rsidR="00A400FD" w:rsidRPr="0042089A" w:rsidRDefault="00F0743D" w:rsidP="00A400FD">
            <w:pPr>
              <w:autoSpaceDE/>
              <w:autoSpaceDN/>
              <w:adjustRightInd/>
              <w:spacing w:after="0"/>
              <w:jc w:val="center"/>
              <w:rPr>
                <w:rFonts w:eastAsia="Times New Roman" w:cs="Arial"/>
                <w:b/>
                <w:bCs/>
                <w:lang w:eastAsia="en-GB"/>
              </w:rPr>
            </w:pPr>
            <w:r w:rsidRPr="0042089A">
              <w:rPr>
                <w:rFonts w:eastAsia="Times New Roman" w:cs="Arial"/>
                <w:b/>
                <w:bCs/>
                <w:lang w:eastAsia="en-GB"/>
              </w:rPr>
              <w:t>£m</w:t>
            </w:r>
          </w:p>
        </w:tc>
      </w:tr>
      <w:tr w:rsidR="00C54E82" w:rsidTr="00A400FD">
        <w:trPr>
          <w:trHeight w:val="182"/>
        </w:trPr>
        <w:tc>
          <w:tcPr>
            <w:tcW w:w="3534" w:type="dxa"/>
            <w:shd w:val="clear" w:color="auto" w:fill="auto"/>
          </w:tcPr>
          <w:p w:rsidR="00A400FD" w:rsidRPr="00D3345D" w:rsidRDefault="007B1E59" w:rsidP="00A400FD">
            <w:pPr>
              <w:autoSpaceDE/>
              <w:autoSpaceDN/>
              <w:adjustRightInd/>
              <w:spacing w:after="0"/>
              <w:jc w:val="left"/>
              <w:rPr>
                <w:rFonts w:eastAsia="Times New Roman" w:cs="Arial"/>
                <w:lang w:eastAsia="en-GB"/>
              </w:rPr>
            </w:pPr>
          </w:p>
        </w:tc>
        <w:tc>
          <w:tcPr>
            <w:tcW w:w="1443" w:type="dxa"/>
            <w:shd w:val="clear" w:color="auto" w:fill="auto"/>
            <w:vAlign w:val="center"/>
          </w:tcPr>
          <w:p w:rsidR="00A400FD" w:rsidRPr="0042089A" w:rsidRDefault="007B1E59" w:rsidP="00A400FD">
            <w:pPr>
              <w:autoSpaceDE/>
              <w:autoSpaceDN/>
              <w:adjustRightInd/>
              <w:spacing w:after="0"/>
              <w:jc w:val="center"/>
              <w:rPr>
                <w:rFonts w:eastAsia="Times New Roman" w:cs="Arial"/>
                <w:b/>
                <w:bCs/>
                <w:lang w:eastAsia="en-GB"/>
              </w:rPr>
            </w:pPr>
          </w:p>
        </w:tc>
        <w:tc>
          <w:tcPr>
            <w:tcW w:w="1443" w:type="dxa"/>
            <w:shd w:val="clear" w:color="auto" w:fill="auto"/>
            <w:vAlign w:val="center"/>
          </w:tcPr>
          <w:p w:rsidR="00A400FD" w:rsidRPr="0042089A" w:rsidRDefault="007B1E59" w:rsidP="00A400FD">
            <w:pPr>
              <w:autoSpaceDE/>
              <w:autoSpaceDN/>
              <w:adjustRightInd/>
              <w:spacing w:after="0"/>
              <w:jc w:val="center"/>
              <w:rPr>
                <w:rFonts w:eastAsia="Times New Roman" w:cs="Arial"/>
                <w:b/>
                <w:bCs/>
                <w:lang w:eastAsia="en-GB"/>
              </w:rPr>
            </w:pPr>
          </w:p>
        </w:tc>
        <w:tc>
          <w:tcPr>
            <w:tcW w:w="1443" w:type="dxa"/>
            <w:shd w:val="clear" w:color="auto" w:fill="auto"/>
            <w:vAlign w:val="center"/>
          </w:tcPr>
          <w:p w:rsidR="00A400FD" w:rsidRPr="0042089A" w:rsidRDefault="007B1E59" w:rsidP="00A400FD">
            <w:pPr>
              <w:autoSpaceDE/>
              <w:autoSpaceDN/>
              <w:adjustRightInd/>
              <w:spacing w:after="0"/>
              <w:jc w:val="center"/>
              <w:rPr>
                <w:rFonts w:eastAsia="Times New Roman" w:cs="Arial"/>
                <w:b/>
                <w:bCs/>
                <w:lang w:eastAsia="en-GB"/>
              </w:rPr>
            </w:pPr>
          </w:p>
        </w:tc>
        <w:tc>
          <w:tcPr>
            <w:tcW w:w="1444" w:type="dxa"/>
            <w:shd w:val="clear" w:color="auto" w:fill="auto"/>
          </w:tcPr>
          <w:p w:rsidR="00A400FD" w:rsidRPr="0042089A" w:rsidRDefault="007B1E59" w:rsidP="00A400FD">
            <w:pPr>
              <w:autoSpaceDE/>
              <w:autoSpaceDN/>
              <w:adjustRightInd/>
              <w:spacing w:after="0"/>
              <w:jc w:val="center"/>
              <w:rPr>
                <w:rFonts w:eastAsia="Times New Roman" w:cs="Arial"/>
                <w:b/>
                <w:bCs/>
                <w:lang w:eastAsia="en-GB"/>
              </w:rPr>
            </w:pPr>
          </w:p>
        </w:tc>
      </w:tr>
      <w:tr w:rsidR="00C54E82" w:rsidTr="00A400FD">
        <w:trPr>
          <w:trHeight w:val="182"/>
        </w:trPr>
        <w:tc>
          <w:tcPr>
            <w:tcW w:w="3534" w:type="dxa"/>
            <w:shd w:val="clear" w:color="auto" w:fill="auto"/>
          </w:tcPr>
          <w:p w:rsidR="00A400FD" w:rsidRPr="00D3345D" w:rsidRDefault="00F0743D" w:rsidP="00A400FD">
            <w:pPr>
              <w:autoSpaceDE/>
              <w:autoSpaceDN/>
              <w:adjustRightInd/>
              <w:spacing w:after="0"/>
              <w:jc w:val="left"/>
              <w:rPr>
                <w:rFonts w:eastAsia="Times New Roman" w:cs="Arial"/>
                <w:lang w:eastAsia="en-GB"/>
              </w:rPr>
            </w:pPr>
            <w:r>
              <w:rPr>
                <w:rFonts w:eastAsia="Times New Roman" w:cs="Arial"/>
                <w:lang w:eastAsia="en-GB"/>
              </w:rPr>
              <w:t>Forecast net budget requirement</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Pr>
                <w:rFonts w:eastAsia="Times New Roman" w:cs="Arial"/>
                <w:bCs/>
                <w:lang w:eastAsia="en-GB"/>
              </w:rPr>
              <w:t>800.877</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Pr>
                <w:rFonts w:eastAsia="Times New Roman" w:cs="Arial"/>
                <w:bCs/>
                <w:lang w:eastAsia="en-GB"/>
              </w:rPr>
              <w:t>813.550</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803.558</w:t>
            </w:r>
          </w:p>
        </w:tc>
        <w:tc>
          <w:tcPr>
            <w:tcW w:w="1444"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0.000</w:t>
            </w:r>
          </w:p>
        </w:tc>
      </w:tr>
      <w:tr w:rsidR="00C54E82" w:rsidTr="00A400FD">
        <w:trPr>
          <w:trHeight w:val="182"/>
        </w:trPr>
        <w:tc>
          <w:tcPr>
            <w:tcW w:w="3534" w:type="dxa"/>
            <w:shd w:val="clear" w:color="auto" w:fill="auto"/>
          </w:tcPr>
          <w:p w:rsidR="00A400FD" w:rsidRPr="00D3345D" w:rsidRDefault="00F0743D" w:rsidP="00A400FD">
            <w:pPr>
              <w:autoSpaceDE/>
              <w:autoSpaceDN/>
              <w:adjustRightInd/>
              <w:spacing w:after="0"/>
              <w:jc w:val="left"/>
              <w:rPr>
                <w:rFonts w:eastAsia="Times New Roman" w:cs="Arial"/>
                <w:lang w:eastAsia="en-GB"/>
              </w:rPr>
            </w:pPr>
            <w:r>
              <w:rPr>
                <w:rFonts w:eastAsia="Times New Roman" w:cs="Arial"/>
                <w:lang w:eastAsia="en-GB"/>
              </w:rPr>
              <w:t>Funding</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774.512</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763.822</w:t>
            </w:r>
          </w:p>
        </w:tc>
        <w:tc>
          <w:tcPr>
            <w:tcW w:w="1443"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777.612</w:t>
            </w:r>
          </w:p>
        </w:tc>
        <w:tc>
          <w:tcPr>
            <w:tcW w:w="1444" w:type="dxa"/>
            <w:shd w:val="clear" w:color="auto" w:fill="auto"/>
            <w:vAlign w:val="center"/>
          </w:tcPr>
          <w:p w:rsidR="00A400FD" w:rsidRPr="00901E50" w:rsidRDefault="00F0743D" w:rsidP="00A400FD">
            <w:pPr>
              <w:autoSpaceDE/>
              <w:autoSpaceDN/>
              <w:adjustRightInd/>
              <w:spacing w:after="0"/>
              <w:jc w:val="right"/>
              <w:rPr>
                <w:rFonts w:eastAsia="Times New Roman" w:cs="Arial"/>
                <w:bCs/>
                <w:lang w:eastAsia="en-GB"/>
              </w:rPr>
            </w:pPr>
            <w:r w:rsidRPr="00901E50">
              <w:rPr>
                <w:rFonts w:eastAsia="Times New Roman" w:cs="Arial"/>
                <w:bCs/>
                <w:lang w:eastAsia="en-GB"/>
              </w:rPr>
              <w:t>0.000</w:t>
            </w:r>
          </w:p>
        </w:tc>
      </w:tr>
      <w:tr w:rsidR="00C54E82" w:rsidTr="00A400FD">
        <w:trPr>
          <w:trHeight w:val="529"/>
        </w:trPr>
        <w:tc>
          <w:tcPr>
            <w:tcW w:w="3534" w:type="dxa"/>
            <w:shd w:val="clear" w:color="auto" w:fill="auto"/>
            <w:vAlign w:val="center"/>
            <w:hideMark/>
          </w:tcPr>
          <w:p w:rsidR="00A400FD" w:rsidRPr="00D3345D" w:rsidRDefault="00F0743D" w:rsidP="00A400FD">
            <w:pPr>
              <w:autoSpaceDE/>
              <w:autoSpaceDN/>
              <w:adjustRightInd/>
              <w:spacing w:after="0"/>
              <w:jc w:val="left"/>
              <w:rPr>
                <w:rFonts w:eastAsia="Times New Roman" w:cs="Arial"/>
                <w:b/>
                <w:bCs/>
                <w:lang w:eastAsia="en-GB"/>
              </w:rPr>
            </w:pPr>
            <w:r w:rsidRPr="00D3345D">
              <w:rPr>
                <w:rFonts w:eastAsia="Times New Roman" w:cs="Arial"/>
                <w:b/>
                <w:bCs/>
                <w:lang w:eastAsia="en-GB"/>
              </w:rPr>
              <w:t xml:space="preserve">Spending Gap as reported to </w:t>
            </w:r>
            <w:r>
              <w:rPr>
                <w:rFonts w:eastAsia="Times New Roman" w:cs="Arial"/>
                <w:b/>
                <w:bCs/>
                <w:lang w:eastAsia="en-GB"/>
              </w:rPr>
              <w:t>Full Council February 18</w:t>
            </w:r>
          </w:p>
        </w:tc>
        <w:tc>
          <w:tcPr>
            <w:tcW w:w="1443" w:type="dxa"/>
            <w:shd w:val="clear" w:color="auto" w:fill="auto"/>
            <w:vAlign w:val="center"/>
            <w:hideMark/>
          </w:tcPr>
          <w:p w:rsidR="00A400FD" w:rsidRPr="00291762" w:rsidRDefault="00F0743D" w:rsidP="00A400FD">
            <w:pPr>
              <w:autoSpaceDE/>
              <w:autoSpaceDN/>
              <w:adjustRightInd/>
              <w:spacing w:after="0"/>
              <w:jc w:val="right"/>
              <w:rPr>
                <w:rFonts w:eastAsia="Times New Roman" w:cs="Arial"/>
                <w:b/>
                <w:bCs/>
                <w:lang w:eastAsia="en-GB"/>
              </w:rPr>
            </w:pPr>
            <w:r w:rsidRPr="00291762">
              <w:rPr>
                <w:rFonts w:eastAsia="Times New Roman" w:cs="Arial"/>
                <w:b/>
                <w:bCs/>
                <w:lang w:eastAsia="en-GB"/>
              </w:rPr>
              <w:t>26.365</w:t>
            </w:r>
          </w:p>
        </w:tc>
        <w:tc>
          <w:tcPr>
            <w:tcW w:w="1443" w:type="dxa"/>
            <w:shd w:val="clear" w:color="auto" w:fill="auto"/>
            <w:vAlign w:val="center"/>
            <w:hideMark/>
          </w:tcPr>
          <w:p w:rsidR="00A400FD" w:rsidRPr="00291762" w:rsidRDefault="00F0743D" w:rsidP="00A400FD">
            <w:pPr>
              <w:autoSpaceDE/>
              <w:autoSpaceDN/>
              <w:adjustRightInd/>
              <w:spacing w:after="0"/>
              <w:jc w:val="right"/>
              <w:rPr>
                <w:rFonts w:eastAsia="Times New Roman" w:cs="Arial"/>
                <w:b/>
                <w:bCs/>
                <w:lang w:eastAsia="en-GB"/>
              </w:rPr>
            </w:pPr>
            <w:r w:rsidRPr="00291762">
              <w:rPr>
                <w:rFonts w:eastAsia="Times New Roman" w:cs="Arial"/>
                <w:b/>
                <w:bCs/>
                <w:lang w:eastAsia="en-GB"/>
              </w:rPr>
              <w:t>49.728</w:t>
            </w:r>
          </w:p>
        </w:tc>
        <w:tc>
          <w:tcPr>
            <w:tcW w:w="1443" w:type="dxa"/>
            <w:shd w:val="clear" w:color="auto" w:fill="auto"/>
            <w:vAlign w:val="center"/>
            <w:hideMark/>
          </w:tcPr>
          <w:p w:rsidR="00A400FD" w:rsidRPr="00291762" w:rsidRDefault="00F0743D" w:rsidP="00A400FD">
            <w:pPr>
              <w:autoSpaceDE/>
              <w:autoSpaceDN/>
              <w:adjustRightInd/>
              <w:spacing w:after="0"/>
              <w:jc w:val="right"/>
              <w:rPr>
                <w:rFonts w:eastAsia="Times New Roman" w:cs="Arial"/>
                <w:b/>
                <w:bCs/>
                <w:lang w:eastAsia="en-GB"/>
              </w:rPr>
            </w:pPr>
            <w:r w:rsidRPr="00291762">
              <w:rPr>
                <w:rFonts w:eastAsia="Times New Roman" w:cs="Arial"/>
                <w:b/>
                <w:bCs/>
                <w:lang w:eastAsia="en-GB"/>
              </w:rPr>
              <w:t>25.946</w:t>
            </w:r>
          </w:p>
        </w:tc>
        <w:tc>
          <w:tcPr>
            <w:tcW w:w="1444" w:type="dxa"/>
            <w:vAlign w:val="center"/>
          </w:tcPr>
          <w:p w:rsidR="00A400FD" w:rsidRPr="00291762" w:rsidRDefault="00F0743D" w:rsidP="00A400FD">
            <w:pPr>
              <w:autoSpaceDE/>
              <w:autoSpaceDN/>
              <w:adjustRightInd/>
              <w:spacing w:after="0"/>
              <w:jc w:val="right"/>
              <w:rPr>
                <w:rFonts w:eastAsia="Times New Roman" w:cs="Arial"/>
                <w:b/>
                <w:bCs/>
                <w:lang w:eastAsia="en-GB"/>
              </w:rPr>
            </w:pPr>
            <w:r w:rsidRPr="00291762">
              <w:rPr>
                <w:rFonts w:eastAsia="Times New Roman" w:cs="Arial"/>
                <w:b/>
                <w:bCs/>
                <w:lang w:eastAsia="en-GB"/>
              </w:rPr>
              <w:t>0.000</w:t>
            </w:r>
          </w:p>
        </w:tc>
      </w:tr>
      <w:tr w:rsidR="00C54E82" w:rsidTr="00A400FD">
        <w:trPr>
          <w:trHeight w:val="356"/>
        </w:trPr>
        <w:tc>
          <w:tcPr>
            <w:tcW w:w="3534" w:type="dxa"/>
            <w:shd w:val="clear" w:color="000000" w:fill="BFBFBF"/>
            <w:vAlign w:val="center"/>
            <w:hideMark/>
          </w:tcPr>
          <w:p w:rsidR="00A400FD" w:rsidRPr="00D3345D" w:rsidRDefault="00F0743D" w:rsidP="00A400FD">
            <w:pPr>
              <w:autoSpaceDE/>
              <w:autoSpaceDN/>
              <w:adjustRightInd/>
              <w:spacing w:after="0"/>
              <w:jc w:val="left"/>
              <w:rPr>
                <w:rFonts w:eastAsia="Times New Roman" w:cs="Arial"/>
                <w:lang w:eastAsia="en-GB"/>
              </w:rPr>
            </w:pPr>
            <w:r w:rsidRPr="00D3345D">
              <w:rPr>
                <w:rFonts w:eastAsia="Times New Roman" w:cs="Arial"/>
                <w:lang w:eastAsia="en-GB"/>
              </w:rPr>
              <w:t xml:space="preserve">Add change to forecast </w:t>
            </w:r>
            <w:r>
              <w:rPr>
                <w:rFonts w:eastAsia="Times New Roman" w:cs="Arial"/>
                <w:lang w:eastAsia="en-GB"/>
              </w:rPr>
              <w:t>net budget requirement</w:t>
            </w:r>
            <w:r w:rsidRPr="00D3345D">
              <w:rPr>
                <w:rFonts w:eastAsia="Times New Roman" w:cs="Arial"/>
                <w:lang w:eastAsia="en-GB"/>
              </w:rPr>
              <w:t>:</w:t>
            </w:r>
          </w:p>
        </w:tc>
        <w:tc>
          <w:tcPr>
            <w:tcW w:w="1443" w:type="dxa"/>
            <w:shd w:val="clear" w:color="000000" w:fill="BFBFBF"/>
            <w:vAlign w:val="center"/>
            <w:hideMark/>
          </w:tcPr>
          <w:p w:rsidR="00A400FD" w:rsidRPr="00D3345D" w:rsidRDefault="00F0743D" w:rsidP="00A400FD">
            <w:pPr>
              <w:autoSpaceDE/>
              <w:autoSpaceDN/>
              <w:adjustRightInd/>
              <w:spacing w:after="0"/>
              <w:jc w:val="right"/>
              <w:rPr>
                <w:rFonts w:eastAsia="Times New Roman" w:cs="Arial"/>
                <w:lang w:eastAsia="en-GB"/>
              </w:rPr>
            </w:pPr>
            <w:r w:rsidRPr="00D3345D">
              <w:rPr>
                <w:rFonts w:eastAsia="Times New Roman" w:cs="Arial"/>
                <w:lang w:eastAsia="en-GB"/>
              </w:rPr>
              <w:t> </w:t>
            </w:r>
          </w:p>
        </w:tc>
        <w:tc>
          <w:tcPr>
            <w:tcW w:w="1443" w:type="dxa"/>
            <w:shd w:val="clear" w:color="000000" w:fill="BFBFBF"/>
            <w:vAlign w:val="center"/>
            <w:hideMark/>
          </w:tcPr>
          <w:p w:rsidR="00A400FD" w:rsidRPr="00D3345D" w:rsidRDefault="00F0743D" w:rsidP="00A400FD">
            <w:pPr>
              <w:autoSpaceDE/>
              <w:autoSpaceDN/>
              <w:adjustRightInd/>
              <w:spacing w:after="0"/>
              <w:jc w:val="right"/>
              <w:rPr>
                <w:rFonts w:eastAsia="Times New Roman" w:cs="Arial"/>
                <w:lang w:eastAsia="en-GB"/>
              </w:rPr>
            </w:pPr>
            <w:r w:rsidRPr="00D3345D">
              <w:rPr>
                <w:rFonts w:eastAsia="Times New Roman" w:cs="Arial"/>
                <w:lang w:eastAsia="en-GB"/>
              </w:rPr>
              <w:t> </w:t>
            </w:r>
          </w:p>
        </w:tc>
        <w:tc>
          <w:tcPr>
            <w:tcW w:w="1443" w:type="dxa"/>
            <w:shd w:val="clear" w:color="000000" w:fill="BFBFBF"/>
            <w:vAlign w:val="center"/>
            <w:hideMark/>
          </w:tcPr>
          <w:p w:rsidR="00A400FD" w:rsidRPr="00D3345D" w:rsidRDefault="00F0743D" w:rsidP="00A400FD">
            <w:pPr>
              <w:autoSpaceDE/>
              <w:autoSpaceDN/>
              <w:adjustRightInd/>
              <w:spacing w:after="0"/>
              <w:jc w:val="right"/>
              <w:rPr>
                <w:rFonts w:eastAsia="Times New Roman" w:cs="Arial"/>
                <w:lang w:eastAsia="en-GB"/>
              </w:rPr>
            </w:pPr>
            <w:r w:rsidRPr="00D3345D">
              <w:rPr>
                <w:rFonts w:eastAsia="Times New Roman" w:cs="Arial"/>
                <w:lang w:eastAsia="en-GB"/>
              </w:rPr>
              <w:t> </w:t>
            </w:r>
          </w:p>
        </w:tc>
        <w:tc>
          <w:tcPr>
            <w:tcW w:w="1444" w:type="dxa"/>
            <w:shd w:val="clear" w:color="000000" w:fill="BFBFBF"/>
            <w:vAlign w:val="center"/>
          </w:tcPr>
          <w:p w:rsidR="00A400FD" w:rsidRPr="00D3345D" w:rsidRDefault="007B1E59" w:rsidP="00A400FD">
            <w:pPr>
              <w:autoSpaceDE/>
              <w:autoSpaceDN/>
              <w:adjustRightInd/>
              <w:spacing w:after="0"/>
              <w:jc w:val="right"/>
              <w:rPr>
                <w:rFonts w:eastAsia="Times New Roman" w:cs="Arial"/>
                <w:lang w:eastAsia="en-GB"/>
              </w:rPr>
            </w:pPr>
          </w:p>
        </w:tc>
      </w:tr>
      <w:tr w:rsidR="00C54E82" w:rsidTr="00A400FD">
        <w:trPr>
          <w:trHeight w:val="430"/>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Pay &amp; Pensions</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Pr>
                <w:rFonts w:cs="Arial"/>
              </w:rPr>
              <w:t>0.031</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-0.544</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-0.527</w:t>
            </w:r>
          </w:p>
        </w:tc>
        <w:tc>
          <w:tcPr>
            <w:tcW w:w="1444" w:type="dxa"/>
            <w:vAlign w:val="center"/>
          </w:tcPr>
          <w:p w:rsidR="00A400FD" w:rsidRPr="00B127BE" w:rsidRDefault="00F0743D" w:rsidP="00A400FD">
            <w:pPr>
              <w:autoSpaceDE/>
              <w:autoSpaceDN/>
              <w:adjustRightInd/>
              <w:spacing w:after="0"/>
              <w:jc w:val="right"/>
              <w:rPr>
                <w:rFonts w:eastAsia="Times New Roman" w:cs="Arial"/>
                <w:b/>
                <w:bCs/>
                <w:highlight w:val="yellow"/>
                <w:lang w:eastAsia="en-GB"/>
              </w:rPr>
            </w:pPr>
            <w:r w:rsidRPr="00B127BE">
              <w:rPr>
                <w:rFonts w:cs="Arial"/>
              </w:rPr>
              <w:t>3.955</w:t>
            </w:r>
          </w:p>
        </w:tc>
      </w:tr>
      <w:tr w:rsidR="00C54E82" w:rsidTr="00A400FD">
        <w:trPr>
          <w:trHeight w:val="430"/>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Inflation and Cost Changes</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0.170</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-3.094</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-2.117</w:t>
            </w:r>
          </w:p>
        </w:tc>
        <w:tc>
          <w:tcPr>
            <w:tcW w:w="1444" w:type="dxa"/>
            <w:vAlign w:val="center"/>
          </w:tcPr>
          <w:p w:rsidR="00A400FD" w:rsidRPr="00B127BE" w:rsidRDefault="00F0743D" w:rsidP="00A400FD">
            <w:pPr>
              <w:autoSpaceDE/>
              <w:autoSpaceDN/>
              <w:adjustRightInd/>
              <w:spacing w:after="0"/>
              <w:jc w:val="right"/>
              <w:rPr>
                <w:rFonts w:eastAsia="Times New Roman" w:cs="Arial"/>
                <w:b/>
                <w:bCs/>
                <w:highlight w:val="yellow"/>
                <w:lang w:eastAsia="en-GB"/>
              </w:rPr>
            </w:pPr>
            <w:r w:rsidRPr="00B127BE">
              <w:rPr>
                <w:rFonts w:cs="Arial"/>
              </w:rPr>
              <w:t>20.437</w:t>
            </w:r>
          </w:p>
        </w:tc>
      </w:tr>
      <w:tr w:rsidR="00C54E82" w:rsidTr="00A400FD">
        <w:trPr>
          <w:trHeight w:val="430"/>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Service Demand and Volume Pressures</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Pr>
                <w:rFonts w:cs="Arial"/>
              </w:rPr>
              <w:t>-0.577</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0.093</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sidRPr="00B127BE">
              <w:rPr>
                <w:rFonts w:cs="Arial"/>
              </w:rPr>
              <w:t>-0.861</w:t>
            </w:r>
          </w:p>
        </w:tc>
        <w:tc>
          <w:tcPr>
            <w:tcW w:w="1444" w:type="dxa"/>
            <w:vAlign w:val="center"/>
          </w:tcPr>
          <w:p w:rsidR="00A400FD" w:rsidRPr="00B127BE" w:rsidRDefault="00F0743D" w:rsidP="00A400FD">
            <w:pPr>
              <w:autoSpaceDE/>
              <w:autoSpaceDN/>
              <w:adjustRightInd/>
              <w:spacing w:after="0"/>
              <w:jc w:val="right"/>
              <w:rPr>
                <w:rFonts w:eastAsia="Times New Roman" w:cs="Arial"/>
                <w:b/>
                <w:bCs/>
                <w:highlight w:val="yellow"/>
                <w:lang w:eastAsia="en-GB"/>
              </w:rPr>
            </w:pPr>
            <w:r w:rsidRPr="00B127BE">
              <w:rPr>
                <w:rFonts w:cs="Arial"/>
              </w:rPr>
              <w:t>13.419</w:t>
            </w:r>
          </w:p>
        </w:tc>
      </w:tr>
      <w:tr w:rsidR="00C54E82" w:rsidTr="00A400FD">
        <w:trPr>
          <w:trHeight w:val="430"/>
        </w:trPr>
        <w:tc>
          <w:tcPr>
            <w:tcW w:w="3534" w:type="dxa"/>
            <w:shd w:val="clear" w:color="auto" w:fill="auto"/>
            <w:vAlign w:val="center"/>
          </w:tcPr>
          <w:p w:rsidR="00A400FD" w:rsidRPr="00B127BE" w:rsidRDefault="00F0743D" w:rsidP="00A400FD">
            <w:pPr>
              <w:autoSpaceDE/>
              <w:autoSpaceDN/>
              <w:adjustRightInd/>
              <w:spacing w:after="0"/>
              <w:jc w:val="left"/>
              <w:rPr>
                <w:rFonts w:eastAsia="Times New Roman" w:cs="Arial"/>
                <w:lang w:eastAsia="en-GB"/>
              </w:rPr>
            </w:pPr>
            <w:r>
              <w:rPr>
                <w:rFonts w:eastAsia="Times New Roman" w:cs="Arial"/>
                <w:lang w:eastAsia="en-GB"/>
              </w:rPr>
              <w:t>Other</w:t>
            </w:r>
          </w:p>
        </w:tc>
        <w:tc>
          <w:tcPr>
            <w:tcW w:w="1443" w:type="dxa"/>
            <w:shd w:val="clear" w:color="auto" w:fill="auto"/>
            <w:vAlign w:val="center"/>
          </w:tcPr>
          <w:p w:rsidR="00A400FD" w:rsidRPr="00B127BE" w:rsidRDefault="00F0743D" w:rsidP="00A400FD">
            <w:pPr>
              <w:autoSpaceDE/>
              <w:autoSpaceDN/>
              <w:adjustRightInd/>
              <w:spacing w:after="0"/>
              <w:jc w:val="right"/>
              <w:rPr>
                <w:rFonts w:cs="Arial"/>
              </w:rPr>
            </w:pPr>
            <w:r>
              <w:rPr>
                <w:rFonts w:cs="Arial"/>
              </w:rPr>
              <w:t>-3.670</w:t>
            </w:r>
          </w:p>
        </w:tc>
        <w:tc>
          <w:tcPr>
            <w:tcW w:w="1443" w:type="dxa"/>
            <w:shd w:val="clear" w:color="auto" w:fill="auto"/>
            <w:vAlign w:val="center"/>
          </w:tcPr>
          <w:p w:rsidR="00A400FD" w:rsidRPr="00B127BE" w:rsidRDefault="00F0743D" w:rsidP="00A400FD">
            <w:pPr>
              <w:autoSpaceDE/>
              <w:autoSpaceDN/>
              <w:adjustRightInd/>
              <w:spacing w:after="0"/>
              <w:jc w:val="right"/>
              <w:rPr>
                <w:rFonts w:cs="Arial"/>
              </w:rPr>
            </w:pPr>
            <w:r>
              <w:rPr>
                <w:rFonts w:cs="Arial"/>
              </w:rPr>
              <w:t>4.000</w:t>
            </w:r>
          </w:p>
        </w:tc>
        <w:tc>
          <w:tcPr>
            <w:tcW w:w="1443" w:type="dxa"/>
            <w:shd w:val="clear" w:color="auto" w:fill="auto"/>
            <w:vAlign w:val="center"/>
          </w:tcPr>
          <w:p w:rsidR="00A400FD" w:rsidRPr="00B127BE" w:rsidRDefault="00F0743D" w:rsidP="00A400FD">
            <w:pPr>
              <w:autoSpaceDE/>
              <w:autoSpaceDN/>
              <w:adjustRightInd/>
              <w:spacing w:after="0"/>
              <w:jc w:val="right"/>
              <w:rPr>
                <w:rFonts w:cs="Arial"/>
              </w:rPr>
            </w:pPr>
            <w:r>
              <w:rPr>
                <w:rFonts w:cs="Arial"/>
              </w:rPr>
              <w:t>0.000</w:t>
            </w:r>
          </w:p>
        </w:tc>
        <w:tc>
          <w:tcPr>
            <w:tcW w:w="1444" w:type="dxa"/>
            <w:vAlign w:val="center"/>
          </w:tcPr>
          <w:p w:rsidR="00A400FD" w:rsidRPr="00B127BE" w:rsidRDefault="00F0743D" w:rsidP="00A400FD">
            <w:pPr>
              <w:autoSpaceDE/>
              <w:autoSpaceDN/>
              <w:adjustRightInd/>
              <w:spacing w:after="0"/>
              <w:jc w:val="right"/>
              <w:rPr>
                <w:rFonts w:cs="Arial"/>
              </w:rPr>
            </w:pPr>
            <w:r>
              <w:rPr>
                <w:rFonts w:cs="Arial"/>
              </w:rPr>
              <w:t>0.622</w:t>
            </w:r>
          </w:p>
        </w:tc>
      </w:tr>
      <w:tr w:rsidR="00C54E82" w:rsidTr="00A400FD">
        <w:trPr>
          <w:trHeight w:val="430"/>
        </w:trPr>
        <w:tc>
          <w:tcPr>
            <w:tcW w:w="3534" w:type="dxa"/>
            <w:shd w:val="clear" w:color="auto" w:fill="auto"/>
            <w:vAlign w:val="center"/>
          </w:tcPr>
          <w:p w:rsidR="00A400FD" w:rsidRDefault="00F0743D" w:rsidP="00A400FD">
            <w:pPr>
              <w:autoSpaceDE/>
              <w:autoSpaceDN/>
              <w:adjustRightInd/>
              <w:spacing w:after="0"/>
              <w:jc w:val="left"/>
              <w:rPr>
                <w:rFonts w:eastAsia="Times New Roman" w:cs="Arial"/>
                <w:lang w:eastAsia="en-GB"/>
              </w:rPr>
            </w:pPr>
            <w:r>
              <w:rPr>
                <w:rFonts w:eastAsia="Times New Roman" w:cs="Arial"/>
                <w:lang w:eastAsia="en-GB"/>
              </w:rPr>
              <w:t>MRP Policy Change</w:t>
            </w:r>
          </w:p>
        </w:tc>
        <w:tc>
          <w:tcPr>
            <w:tcW w:w="1443" w:type="dxa"/>
            <w:shd w:val="clear" w:color="auto" w:fill="auto"/>
            <w:vAlign w:val="center"/>
          </w:tcPr>
          <w:p w:rsidR="00A400FD" w:rsidRDefault="00F0743D" w:rsidP="00A400FD">
            <w:pPr>
              <w:autoSpaceDE/>
              <w:autoSpaceDN/>
              <w:adjustRightInd/>
              <w:spacing w:after="0"/>
              <w:jc w:val="right"/>
              <w:rPr>
                <w:rFonts w:cs="Arial"/>
              </w:rPr>
            </w:pPr>
            <w:r>
              <w:rPr>
                <w:rFonts w:cs="Arial"/>
              </w:rPr>
              <w:t>-8.203</w:t>
            </w:r>
          </w:p>
        </w:tc>
        <w:tc>
          <w:tcPr>
            <w:tcW w:w="1443" w:type="dxa"/>
            <w:shd w:val="clear" w:color="auto" w:fill="auto"/>
            <w:vAlign w:val="center"/>
          </w:tcPr>
          <w:p w:rsidR="00A400FD" w:rsidRDefault="00F0743D" w:rsidP="00A400FD">
            <w:pPr>
              <w:autoSpaceDE/>
              <w:autoSpaceDN/>
              <w:adjustRightInd/>
              <w:spacing w:after="0"/>
              <w:jc w:val="right"/>
              <w:rPr>
                <w:rFonts w:cs="Arial"/>
              </w:rPr>
            </w:pPr>
            <w:r>
              <w:rPr>
                <w:rFonts w:cs="Arial"/>
              </w:rPr>
              <w:t>-0.183</w:t>
            </w:r>
          </w:p>
        </w:tc>
        <w:tc>
          <w:tcPr>
            <w:tcW w:w="1443" w:type="dxa"/>
            <w:shd w:val="clear" w:color="auto" w:fill="auto"/>
            <w:vAlign w:val="center"/>
          </w:tcPr>
          <w:p w:rsidR="00A400FD" w:rsidRDefault="00F0743D" w:rsidP="00A400FD">
            <w:pPr>
              <w:autoSpaceDE/>
              <w:autoSpaceDN/>
              <w:adjustRightInd/>
              <w:spacing w:after="0"/>
              <w:jc w:val="right"/>
              <w:rPr>
                <w:rFonts w:cs="Arial"/>
              </w:rPr>
            </w:pPr>
            <w:r>
              <w:rPr>
                <w:rFonts w:cs="Arial"/>
              </w:rPr>
              <w:t>-0.026</w:t>
            </w:r>
          </w:p>
        </w:tc>
        <w:tc>
          <w:tcPr>
            <w:tcW w:w="1444" w:type="dxa"/>
            <w:vAlign w:val="center"/>
          </w:tcPr>
          <w:p w:rsidR="00A400FD" w:rsidRDefault="00F0743D" w:rsidP="00A400FD">
            <w:pPr>
              <w:autoSpaceDE/>
              <w:autoSpaceDN/>
              <w:adjustRightInd/>
              <w:spacing w:after="0"/>
              <w:jc w:val="right"/>
              <w:rPr>
                <w:rFonts w:cs="Arial"/>
              </w:rPr>
            </w:pPr>
            <w:r>
              <w:rPr>
                <w:rFonts w:cs="Arial"/>
              </w:rPr>
              <w:t>0.000</w:t>
            </w:r>
          </w:p>
        </w:tc>
      </w:tr>
      <w:tr w:rsidR="00C54E82" w:rsidTr="00A400FD">
        <w:trPr>
          <w:trHeight w:val="430"/>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Specific grants</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Pr>
                <w:rFonts w:cs="Arial"/>
              </w:rPr>
              <w:t>-0.300</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Pr>
                <w:rFonts w:cs="Arial"/>
              </w:rPr>
              <w:t>0.000</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highlight w:val="yellow"/>
                <w:lang w:eastAsia="en-GB"/>
              </w:rPr>
            </w:pPr>
            <w:r>
              <w:rPr>
                <w:rFonts w:cs="Arial"/>
              </w:rPr>
              <w:t>0.000</w:t>
            </w:r>
          </w:p>
        </w:tc>
        <w:tc>
          <w:tcPr>
            <w:tcW w:w="1444" w:type="dxa"/>
            <w:vAlign w:val="center"/>
          </w:tcPr>
          <w:p w:rsidR="00A400FD" w:rsidRPr="00902EC2" w:rsidRDefault="00F0743D" w:rsidP="00A400FD">
            <w:pPr>
              <w:autoSpaceDE/>
              <w:autoSpaceDN/>
              <w:adjustRightInd/>
              <w:spacing w:after="0"/>
              <w:jc w:val="right"/>
              <w:rPr>
                <w:rFonts w:eastAsia="Times New Roman" w:cs="Arial"/>
                <w:bCs/>
                <w:color w:val="auto"/>
                <w:lang w:eastAsia="en-GB"/>
              </w:rPr>
            </w:pPr>
            <w:r w:rsidRPr="00902EC2">
              <w:rPr>
                <w:rFonts w:eastAsia="Times New Roman" w:cs="Arial"/>
                <w:bCs/>
                <w:color w:val="auto"/>
                <w:lang w:eastAsia="en-GB"/>
              </w:rPr>
              <w:t>0.000</w:t>
            </w:r>
          </w:p>
        </w:tc>
      </w:tr>
      <w:tr w:rsidR="00C54E82" w:rsidTr="00A400FD">
        <w:trPr>
          <w:trHeight w:val="364"/>
        </w:trPr>
        <w:tc>
          <w:tcPr>
            <w:tcW w:w="3534" w:type="dxa"/>
            <w:shd w:val="clear" w:color="000000" w:fill="D9D9D9"/>
            <w:vAlign w:val="center"/>
            <w:hideMark/>
          </w:tcPr>
          <w:p w:rsidR="00A400FD" w:rsidRPr="00B127BE" w:rsidRDefault="00F0743D" w:rsidP="00A400FD">
            <w:pPr>
              <w:autoSpaceDE/>
              <w:autoSpaceDN/>
              <w:adjustRightInd/>
              <w:spacing w:after="0"/>
              <w:jc w:val="left"/>
              <w:rPr>
                <w:rFonts w:eastAsia="Times New Roman" w:cs="Arial"/>
                <w:b/>
                <w:bCs/>
                <w:lang w:eastAsia="en-GB"/>
              </w:rPr>
            </w:pPr>
            <w:r>
              <w:rPr>
                <w:rFonts w:eastAsia="Times New Roman" w:cs="Arial"/>
                <w:b/>
                <w:bCs/>
                <w:lang w:eastAsia="en-GB"/>
              </w:rPr>
              <w:t>Total change to f</w:t>
            </w:r>
            <w:r w:rsidRPr="00B127BE">
              <w:rPr>
                <w:rFonts w:eastAsia="Times New Roman" w:cs="Arial"/>
                <w:b/>
                <w:bCs/>
                <w:lang w:eastAsia="en-GB"/>
              </w:rPr>
              <w:t xml:space="preserve">orecast </w:t>
            </w:r>
            <w:r>
              <w:rPr>
                <w:rFonts w:eastAsia="Times New Roman" w:cs="Arial"/>
                <w:b/>
                <w:bCs/>
                <w:lang w:eastAsia="en-GB"/>
              </w:rPr>
              <w:t>net budget requirement</w:t>
            </w:r>
          </w:p>
        </w:tc>
        <w:tc>
          <w:tcPr>
            <w:tcW w:w="1443" w:type="dxa"/>
            <w:shd w:val="clear" w:color="000000" w:fill="D9D9D9"/>
            <w:vAlign w:val="center"/>
            <w:hideMark/>
          </w:tcPr>
          <w:p w:rsidR="00A400FD" w:rsidRPr="00B127BE"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-12.54</w:t>
            </w:r>
            <w:r w:rsidRPr="00B127BE">
              <w:rPr>
                <w:rFonts w:eastAsia="Times New Roman" w:cs="Arial"/>
                <w:b/>
                <w:bCs/>
                <w:lang w:eastAsia="en-GB"/>
              </w:rPr>
              <w:t>9</w:t>
            </w:r>
          </w:p>
        </w:tc>
        <w:tc>
          <w:tcPr>
            <w:tcW w:w="1443" w:type="dxa"/>
            <w:shd w:val="clear" w:color="000000" w:fill="D9D9D9"/>
            <w:vAlign w:val="center"/>
            <w:hideMark/>
          </w:tcPr>
          <w:p w:rsidR="00A400FD" w:rsidRPr="00B127BE"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0.272</w:t>
            </w:r>
          </w:p>
        </w:tc>
        <w:tc>
          <w:tcPr>
            <w:tcW w:w="1443" w:type="dxa"/>
            <w:shd w:val="clear" w:color="000000" w:fill="D9D9D9"/>
            <w:vAlign w:val="center"/>
            <w:hideMark/>
          </w:tcPr>
          <w:p w:rsidR="00A400FD" w:rsidRPr="00B127BE" w:rsidRDefault="00F0743D" w:rsidP="00A400FD">
            <w:pPr>
              <w:autoSpaceDE/>
              <w:autoSpaceDN/>
              <w:adjustRightInd/>
              <w:spacing w:after="0"/>
              <w:jc w:val="right"/>
              <w:rPr>
                <w:rFonts w:eastAsia="Times New Roman" w:cs="Arial"/>
                <w:b/>
                <w:bCs/>
                <w:lang w:eastAsia="en-GB"/>
              </w:rPr>
            </w:pPr>
            <w:r w:rsidRPr="00B127BE">
              <w:rPr>
                <w:rFonts w:eastAsia="Times New Roman" w:cs="Arial"/>
                <w:b/>
                <w:bCs/>
                <w:lang w:eastAsia="en-GB"/>
              </w:rPr>
              <w:t>-3.531</w:t>
            </w:r>
          </w:p>
        </w:tc>
        <w:tc>
          <w:tcPr>
            <w:tcW w:w="1444" w:type="dxa"/>
            <w:shd w:val="clear" w:color="000000" w:fill="D9D9D9"/>
            <w:vAlign w:val="center"/>
          </w:tcPr>
          <w:p w:rsidR="00A400FD" w:rsidRPr="00B127BE" w:rsidRDefault="00F0743D" w:rsidP="00A400FD">
            <w:pPr>
              <w:autoSpaceDE/>
              <w:autoSpaceDN/>
              <w:adjustRightInd/>
              <w:spacing w:after="0"/>
              <w:jc w:val="right"/>
              <w:rPr>
                <w:rFonts w:eastAsia="Times New Roman" w:cs="Arial"/>
                <w:b/>
                <w:bCs/>
                <w:lang w:eastAsia="en-GB"/>
              </w:rPr>
            </w:pPr>
            <w:r w:rsidRPr="00B127BE">
              <w:rPr>
                <w:rFonts w:eastAsia="Times New Roman" w:cs="Arial"/>
                <w:b/>
                <w:bCs/>
                <w:lang w:eastAsia="en-GB"/>
              </w:rPr>
              <w:t>38.433</w:t>
            </w:r>
          </w:p>
        </w:tc>
      </w:tr>
      <w:tr w:rsidR="00C54E82" w:rsidTr="00A400FD">
        <w:trPr>
          <w:trHeight w:val="260"/>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b/>
                <w:bCs/>
                <w:lang w:eastAsia="en-GB"/>
              </w:rPr>
            </w:pPr>
            <w:r w:rsidRPr="00B127BE">
              <w:rPr>
                <w:rFonts w:eastAsia="Times New Roman" w:cs="Arial"/>
                <w:b/>
                <w:bCs/>
                <w:lang w:eastAsia="en-GB"/>
              </w:rPr>
              <w:t> </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b/>
                <w:bCs/>
                <w:lang w:eastAsia="en-GB"/>
              </w:rPr>
            </w:pPr>
            <w:r w:rsidRPr="00B127BE">
              <w:rPr>
                <w:rFonts w:eastAsia="Times New Roman" w:cs="Arial"/>
                <w:b/>
                <w:bCs/>
                <w:lang w:eastAsia="en-GB"/>
              </w:rPr>
              <w:t> </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b/>
                <w:bCs/>
                <w:lang w:eastAsia="en-GB"/>
              </w:rPr>
            </w:pPr>
            <w:r w:rsidRPr="00B127BE">
              <w:rPr>
                <w:rFonts w:eastAsia="Times New Roman" w:cs="Arial"/>
                <w:b/>
                <w:bCs/>
                <w:lang w:eastAsia="en-GB"/>
              </w:rPr>
              <w:t> </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b/>
                <w:bCs/>
                <w:lang w:eastAsia="en-GB"/>
              </w:rPr>
            </w:pPr>
            <w:r w:rsidRPr="00B127BE">
              <w:rPr>
                <w:rFonts w:eastAsia="Times New Roman" w:cs="Arial"/>
                <w:b/>
                <w:bCs/>
                <w:lang w:eastAsia="en-GB"/>
              </w:rPr>
              <w:t> </w:t>
            </w:r>
          </w:p>
        </w:tc>
        <w:tc>
          <w:tcPr>
            <w:tcW w:w="1444" w:type="dxa"/>
          </w:tcPr>
          <w:p w:rsidR="00A400FD" w:rsidRPr="00B127BE" w:rsidRDefault="007B1E59" w:rsidP="00A400FD">
            <w:pPr>
              <w:autoSpaceDE/>
              <w:autoSpaceDN/>
              <w:adjustRightInd/>
              <w:spacing w:after="0"/>
              <w:jc w:val="right"/>
              <w:rPr>
                <w:rFonts w:eastAsia="Times New Roman" w:cs="Arial"/>
                <w:b/>
                <w:bCs/>
                <w:lang w:eastAsia="en-GB"/>
              </w:rPr>
            </w:pPr>
          </w:p>
        </w:tc>
      </w:tr>
      <w:tr w:rsidR="00C54E82" w:rsidTr="00A400FD">
        <w:trPr>
          <w:trHeight w:val="140"/>
        </w:trPr>
        <w:tc>
          <w:tcPr>
            <w:tcW w:w="3534" w:type="dxa"/>
            <w:shd w:val="clear" w:color="000000" w:fill="BFBFBF"/>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 xml:space="preserve">Change to forecast </w:t>
            </w:r>
            <w:r>
              <w:rPr>
                <w:rFonts w:eastAsia="Times New Roman" w:cs="Arial"/>
                <w:lang w:eastAsia="en-GB"/>
              </w:rPr>
              <w:t>funding</w:t>
            </w:r>
            <w:r w:rsidRPr="00B127BE">
              <w:rPr>
                <w:rFonts w:eastAsia="Times New Roman" w:cs="Arial"/>
                <w:lang w:eastAsia="en-GB"/>
              </w:rPr>
              <w:t>:</w:t>
            </w:r>
          </w:p>
        </w:tc>
        <w:tc>
          <w:tcPr>
            <w:tcW w:w="1443" w:type="dxa"/>
            <w:shd w:val="clear" w:color="000000" w:fill="BFBFBF"/>
            <w:vAlign w:val="center"/>
            <w:hideMark/>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 </w:t>
            </w:r>
          </w:p>
        </w:tc>
        <w:tc>
          <w:tcPr>
            <w:tcW w:w="1443" w:type="dxa"/>
            <w:shd w:val="clear" w:color="000000" w:fill="BFBFBF"/>
            <w:vAlign w:val="center"/>
            <w:hideMark/>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 </w:t>
            </w:r>
          </w:p>
        </w:tc>
        <w:tc>
          <w:tcPr>
            <w:tcW w:w="1443" w:type="dxa"/>
            <w:shd w:val="clear" w:color="000000" w:fill="BFBFBF"/>
            <w:vAlign w:val="center"/>
            <w:hideMark/>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 </w:t>
            </w:r>
          </w:p>
        </w:tc>
        <w:tc>
          <w:tcPr>
            <w:tcW w:w="1444" w:type="dxa"/>
            <w:shd w:val="clear" w:color="000000" w:fill="BFBFBF"/>
          </w:tcPr>
          <w:p w:rsidR="00A400FD" w:rsidRPr="00B127BE" w:rsidRDefault="007B1E59" w:rsidP="00A400FD">
            <w:pPr>
              <w:autoSpaceDE/>
              <w:autoSpaceDN/>
              <w:adjustRightInd/>
              <w:spacing w:after="0"/>
              <w:jc w:val="right"/>
              <w:rPr>
                <w:rFonts w:eastAsia="Times New Roman" w:cs="Arial"/>
                <w:lang w:eastAsia="en-GB"/>
              </w:rPr>
            </w:pPr>
          </w:p>
        </w:tc>
      </w:tr>
      <w:tr w:rsidR="00C54E82" w:rsidTr="00A400FD">
        <w:trPr>
          <w:trHeight w:val="199"/>
        </w:trPr>
        <w:tc>
          <w:tcPr>
            <w:tcW w:w="3534" w:type="dxa"/>
            <w:shd w:val="clear" w:color="auto" w:fill="auto"/>
            <w:vAlign w:val="center"/>
            <w:hideMark/>
          </w:tcPr>
          <w:p w:rsidR="00A400FD" w:rsidRPr="00B127BE" w:rsidRDefault="00F0743D" w:rsidP="00A400FD">
            <w:pPr>
              <w:autoSpaceDE/>
              <w:autoSpaceDN/>
              <w:adjustRightInd/>
              <w:spacing w:after="0"/>
              <w:jc w:val="left"/>
              <w:rPr>
                <w:rFonts w:eastAsia="Times New Roman" w:cs="Arial"/>
                <w:lang w:eastAsia="en-GB"/>
              </w:rPr>
            </w:pPr>
            <w:r w:rsidRPr="00B127BE">
              <w:rPr>
                <w:rFonts w:eastAsia="Times New Roman" w:cs="Arial"/>
                <w:lang w:eastAsia="en-GB"/>
              </w:rPr>
              <w:t>Funding</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4.735</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lang w:eastAsia="en-GB"/>
              </w:rPr>
            </w:pPr>
            <w:r>
              <w:rPr>
                <w:rFonts w:eastAsia="Times New Roman" w:cs="Arial"/>
                <w:lang w:eastAsia="en-GB"/>
              </w:rPr>
              <w:t>0.102</w:t>
            </w:r>
          </w:p>
        </w:tc>
        <w:tc>
          <w:tcPr>
            <w:tcW w:w="1443" w:type="dxa"/>
            <w:shd w:val="clear" w:color="auto" w:fill="auto"/>
            <w:vAlign w:val="center"/>
            <w:hideMark/>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-10.782</w:t>
            </w:r>
          </w:p>
        </w:tc>
        <w:tc>
          <w:tcPr>
            <w:tcW w:w="1444" w:type="dxa"/>
            <w:vAlign w:val="center"/>
          </w:tcPr>
          <w:p w:rsidR="00A400FD" w:rsidRPr="00B127BE" w:rsidRDefault="00F0743D" w:rsidP="00A400FD">
            <w:pPr>
              <w:autoSpaceDE/>
              <w:autoSpaceDN/>
              <w:adjustRightInd/>
              <w:spacing w:after="0"/>
              <w:jc w:val="right"/>
              <w:rPr>
                <w:rFonts w:eastAsia="Times New Roman" w:cs="Arial"/>
                <w:bCs/>
                <w:lang w:eastAsia="en-GB"/>
              </w:rPr>
            </w:pPr>
            <w:r w:rsidRPr="00B127BE">
              <w:rPr>
                <w:rFonts w:eastAsia="Times New Roman" w:cs="Arial"/>
                <w:bCs/>
                <w:lang w:eastAsia="en-GB"/>
              </w:rPr>
              <w:t>-25.464</w:t>
            </w:r>
          </w:p>
        </w:tc>
      </w:tr>
      <w:tr w:rsidR="00C54E82" w:rsidTr="00A400FD">
        <w:trPr>
          <w:trHeight w:val="199"/>
        </w:trPr>
        <w:tc>
          <w:tcPr>
            <w:tcW w:w="3534" w:type="dxa"/>
            <w:shd w:val="clear" w:color="auto" w:fill="auto"/>
            <w:vAlign w:val="center"/>
          </w:tcPr>
          <w:p w:rsidR="00A400FD" w:rsidRPr="00B127BE" w:rsidRDefault="00F0743D" w:rsidP="00A400FD">
            <w:pPr>
              <w:autoSpaceDE/>
              <w:autoSpaceDN/>
              <w:adjustRightInd/>
              <w:spacing w:after="0"/>
              <w:jc w:val="left"/>
              <w:rPr>
                <w:rFonts w:eastAsia="Times New Roman" w:cs="Arial"/>
                <w:lang w:eastAsia="en-GB"/>
              </w:rPr>
            </w:pPr>
            <w:r>
              <w:rPr>
                <w:rFonts w:eastAsia="Times New Roman" w:cs="Arial"/>
                <w:lang w:eastAsia="en-GB"/>
              </w:rPr>
              <w:t>Reverse 18/19 use of reserves</w:t>
            </w:r>
          </w:p>
        </w:tc>
        <w:tc>
          <w:tcPr>
            <w:tcW w:w="1443" w:type="dxa"/>
            <w:shd w:val="clear" w:color="auto" w:fill="auto"/>
            <w:vAlign w:val="center"/>
          </w:tcPr>
          <w:p w:rsidR="00A400FD" w:rsidRPr="00B127BE" w:rsidRDefault="00F0743D" w:rsidP="00A400FD">
            <w:pPr>
              <w:autoSpaceDE/>
              <w:autoSpaceDN/>
              <w:adjustRightInd/>
              <w:spacing w:after="0"/>
              <w:jc w:val="right"/>
              <w:rPr>
                <w:rFonts w:eastAsia="Times New Roman" w:cs="Arial"/>
                <w:lang w:eastAsia="en-GB"/>
              </w:rPr>
            </w:pPr>
            <w:r w:rsidRPr="00B127BE">
              <w:rPr>
                <w:rFonts w:eastAsia="Times New Roman" w:cs="Arial"/>
                <w:lang w:eastAsia="en-GB"/>
              </w:rPr>
              <w:t>42.045</w:t>
            </w:r>
          </w:p>
        </w:tc>
        <w:tc>
          <w:tcPr>
            <w:tcW w:w="1443" w:type="dxa"/>
            <w:shd w:val="clear" w:color="auto" w:fill="auto"/>
            <w:vAlign w:val="center"/>
          </w:tcPr>
          <w:p w:rsidR="00A400FD" w:rsidRPr="00B127BE" w:rsidRDefault="007B1E59" w:rsidP="00A400FD">
            <w:pPr>
              <w:autoSpaceDE/>
              <w:autoSpaceDN/>
              <w:adjustRightInd/>
              <w:spacing w:after="0"/>
              <w:jc w:val="right"/>
              <w:rPr>
                <w:rFonts w:eastAsia="Times New Roman" w:cs="Arial"/>
                <w:lang w:eastAsia="en-GB"/>
              </w:rPr>
            </w:pPr>
          </w:p>
        </w:tc>
        <w:tc>
          <w:tcPr>
            <w:tcW w:w="1443" w:type="dxa"/>
            <w:shd w:val="clear" w:color="auto" w:fill="auto"/>
            <w:vAlign w:val="center"/>
          </w:tcPr>
          <w:p w:rsidR="00A400FD" w:rsidRPr="00B127BE" w:rsidRDefault="007B1E59" w:rsidP="00A400FD">
            <w:pPr>
              <w:autoSpaceDE/>
              <w:autoSpaceDN/>
              <w:adjustRightInd/>
              <w:spacing w:after="0"/>
              <w:jc w:val="right"/>
              <w:rPr>
                <w:rFonts w:eastAsia="Times New Roman" w:cs="Arial"/>
                <w:lang w:eastAsia="en-GB"/>
              </w:rPr>
            </w:pPr>
          </w:p>
        </w:tc>
        <w:tc>
          <w:tcPr>
            <w:tcW w:w="1444" w:type="dxa"/>
          </w:tcPr>
          <w:p w:rsidR="00A400FD" w:rsidRPr="00B127BE" w:rsidRDefault="007B1E59" w:rsidP="00A400FD">
            <w:pPr>
              <w:autoSpaceDE/>
              <w:autoSpaceDN/>
              <w:adjustRightInd/>
              <w:spacing w:after="0"/>
              <w:jc w:val="right"/>
              <w:rPr>
                <w:rFonts w:eastAsia="Times New Roman" w:cs="Arial"/>
                <w:b/>
                <w:bCs/>
                <w:lang w:eastAsia="en-GB"/>
              </w:rPr>
            </w:pPr>
          </w:p>
        </w:tc>
      </w:tr>
      <w:tr w:rsidR="00C54E82" w:rsidTr="00A400FD">
        <w:trPr>
          <w:trHeight w:val="356"/>
        </w:trPr>
        <w:tc>
          <w:tcPr>
            <w:tcW w:w="3534" w:type="dxa"/>
            <w:shd w:val="clear" w:color="000000" w:fill="D9D9D9"/>
            <w:vAlign w:val="center"/>
            <w:hideMark/>
          </w:tcPr>
          <w:p w:rsidR="00A400FD" w:rsidRPr="00084CD2" w:rsidRDefault="00F0743D" w:rsidP="00A400FD">
            <w:pPr>
              <w:autoSpaceDE/>
              <w:autoSpaceDN/>
              <w:adjustRightInd/>
              <w:spacing w:after="0"/>
              <w:jc w:val="left"/>
              <w:rPr>
                <w:rFonts w:eastAsia="Times New Roman" w:cs="Arial"/>
                <w:b/>
                <w:bCs/>
                <w:highlight w:val="yellow"/>
                <w:lang w:eastAsia="en-GB"/>
              </w:rPr>
            </w:pPr>
            <w:r>
              <w:rPr>
                <w:rFonts w:eastAsia="Times New Roman" w:cs="Arial"/>
                <w:b/>
                <w:bCs/>
                <w:lang w:eastAsia="en-GB"/>
              </w:rPr>
              <w:t>Total change to f</w:t>
            </w:r>
            <w:r w:rsidRPr="00B127BE">
              <w:rPr>
                <w:rFonts w:eastAsia="Times New Roman" w:cs="Arial"/>
                <w:b/>
                <w:bCs/>
                <w:lang w:eastAsia="en-GB"/>
              </w:rPr>
              <w:t xml:space="preserve">orecast </w:t>
            </w:r>
            <w:r>
              <w:rPr>
                <w:rFonts w:eastAsia="Times New Roman" w:cs="Arial"/>
                <w:b/>
                <w:bCs/>
                <w:lang w:eastAsia="en-GB"/>
              </w:rPr>
              <w:t>funding</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46.780</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0.102</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-10.782</w:t>
            </w:r>
          </w:p>
        </w:tc>
        <w:tc>
          <w:tcPr>
            <w:tcW w:w="1444" w:type="dxa"/>
            <w:shd w:val="clear" w:color="000000" w:fill="D9D9D9"/>
            <w:vAlign w:val="center"/>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-25.464</w:t>
            </w:r>
          </w:p>
        </w:tc>
      </w:tr>
      <w:tr w:rsidR="00C54E82" w:rsidTr="00A400FD">
        <w:trPr>
          <w:trHeight w:val="234"/>
        </w:trPr>
        <w:tc>
          <w:tcPr>
            <w:tcW w:w="3534" w:type="dxa"/>
            <w:shd w:val="clear" w:color="auto" w:fill="auto"/>
            <w:vAlign w:val="center"/>
            <w:hideMark/>
          </w:tcPr>
          <w:p w:rsidR="00A400FD" w:rsidRPr="00084CD2" w:rsidRDefault="00F0743D" w:rsidP="00A400FD">
            <w:pPr>
              <w:autoSpaceDE/>
              <w:autoSpaceDN/>
              <w:adjustRightInd/>
              <w:spacing w:after="0"/>
              <w:jc w:val="left"/>
              <w:rPr>
                <w:rFonts w:eastAsia="Times New Roman" w:cs="Arial"/>
                <w:highlight w:val="yellow"/>
                <w:lang w:eastAsia="en-GB"/>
              </w:rPr>
            </w:pPr>
            <w:r w:rsidRPr="001040D8">
              <w:rPr>
                <w:rFonts w:eastAsia="Times New Roman" w:cs="Arial"/>
                <w:lang w:eastAsia="en-GB"/>
              </w:rPr>
              <w:t> </w:t>
            </w:r>
          </w:p>
        </w:tc>
        <w:tc>
          <w:tcPr>
            <w:tcW w:w="1443" w:type="dxa"/>
            <w:shd w:val="clear" w:color="auto" w:fill="auto"/>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 </w:t>
            </w:r>
          </w:p>
        </w:tc>
        <w:tc>
          <w:tcPr>
            <w:tcW w:w="1443" w:type="dxa"/>
            <w:shd w:val="clear" w:color="auto" w:fill="auto"/>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 </w:t>
            </w:r>
          </w:p>
        </w:tc>
        <w:tc>
          <w:tcPr>
            <w:tcW w:w="1443" w:type="dxa"/>
            <w:shd w:val="clear" w:color="auto" w:fill="auto"/>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 </w:t>
            </w:r>
          </w:p>
        </w:tc>
        <w:tc>
          <w:tcPr>
            <w:tcW w:w="1444" w:type="dxa"/>
            <w:shd w:val="clear" w:color="auto" w:fill="auto"/>
          </w:tcPr>
          <w:p w:rsidR="00A400FD" w:rsidRPr="001040D8" w:rsidRDefault="007B1E59" w:rsidP="00A400FD">
            <w:pPr>
              <w:autoSpaceDE/>
              <w:autoSpaceDN/>
              <w:adjustRightInd/>
              <w:spacing w:after="0"/>
              <w:jc w:val="right"/>
              <w:rPr>
                <w:rFonts w:eastAsia="Times New Roman" w:cs="Arial"/>
                <w:b/>
                <w:bCs/>
                <w:lang w:eastAsia="en-GB"/>
              </w:rPr>
            </w:pPr>
          </w:p>
        </w:tc>
      </w:tr>
      <w:tr w:rsidR="00C54E82" w:rsidTr="00A400FD">
        <w:trPr>
          <w:trHeight w:val="182"/>
        </w:trPr>
        <w:tc>
          <w:tcPr>
            <w:tcW w:w="3534" w:type="dxa"/>
            <w:shd w:val="clear" w:color="000000" w:fill="BFBFBF"/>
            <w:vAlign w:val="center"/>
            <w:hideMark/>
          </w:tcPr>
          <w:p w:rsidR="00A400FD" w:rsidRPr="001040D8" w:rsidRDefault="00F0743D" w:rsidP="00A400FD">
            <w:pPr>
              <w:autoSpaceDE/>
              <w:autoSpaceDN/>
              <w:adjustRightInd/>
              <w:spacing w:after="0"/>
              <w:jc w:val="left"/>
              <w:rPr>
                <w:rFonts w:eastAsia="Times New Roman" w:cs="Arial"/>
                <w:b/>
                <w:bCs/>
                <w:lang w:eastAsia="en-GB"/>
              </w:rPr>
            </w:pPr>
            <w:r w:rsidRPr="001040D8">
              <w:rPr>
                <w:rFonts w:eastAsia="Times New Roman" w:cs="Arial"/>
                <w:b/>
                <w:bCs/>
                <w:lang w:eastAsia="en-GB"/>
              </w:rPr>
              <w:t>Funding Gap</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60.59</w:t>
            </w:r>
            <w:r w:rsidRPr="001040D8">
              <w:rPr>
                <w:rFonts w:eastAsia="Times New Roman" w:cs="Arial"/>
                <w:b/>
                <w:bCs/>
                <w:lang w:eastAsia="en-GB"/>
              </w:rPr>
              <w:t>6</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50</w:t>
            </w:r>
            <w:r w:rsidRPr="001040D8">
              <w:rPr>
                <w:rFonts w:eastAsia="Times New Roman" w:cs="Arial"/>
                <w:b/>
                <w:bCs/>
                <w:lang w:eastAsia="en-GB"/>
              </w:rPr>
              <w:t>.10</w:t>
            </w:r>
            <w:r>
              <w:rPr>
                <w:rFonts w:eastAsia="Times New Roman" w:cs="Arial"/>
                <w:b/>
                <w:bCs/>
                <w:lang w:eastAsia="en-GB"/>
              </w:rPr>
              <w:t>2</w:t>
            </w:r>
          </w:p>
        </w:tc>
        <w:tc>
          <w:tcPr>
            <w:tcW w:w="1443" w:type="dxa"/>
            <w:shd w:val="clear" w:color="000000" w:fill="D9D9D9"/>
            <w:vAlign w:val="center"/>
            <w:hideMark/>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11.633</w:t>
            </w:r>
          </w:p>
        </w:tc>
        <w:tc>
          <w:tcPr>
            <w:tcW w:w="1444" w:type="dxa"/>
            <w:shd w:val="clear" w:color="000000" w:fill="D9D9D9"/>
            <w:vAlign w:val="center"/>
          </w:tcPr>
          <w:p w:rsidR="00A400FD" w:rsidRPr="001040D8" w:rsidRDefault="00F0743D" w:rsidP="00A400FD">
            <w:pPr>
              <w:autoSpaceDE/>
              <w:autoSpaceDN/>
              <w:adjustRightInd/>
              <w:spacing w:after="0"/>
              <w:jc w:val="right"/>
              <w:rPr>
                <w:rFonts w:eastAsia="Times New Roman" w:cs="Arial"/>
                <w:b/>
                <w:bCs/>
                <w:lang w:eastAsia="en-GB"/>
              </w:rPr>
            </w:pPr>
            <w:r w:rsidRPr="001040D8">
              <w:rPr>
                <w:rFonts w:eastAsia="Times New Roman" w:cs="Arial"/>
                <w:b/>
                <w:bCs/>
                <w:lang w:eastAsia="en-GB"/>
              </w:rPr>
              <w:t>12.969</w:t>
            </w:r>
          </w:p>
        </w:tc>
      </w:tr>
    </w:tbl>
    <w:p w:rsidR="00A400FD" w:rsidRPr="00084CD2" w:rsidRDefault="007B1E59" w:rsidP="00A400FD">
      <w:pPr>
        <w:spacing w:after="0"/>
        <w:rPr>
          <w:rFonts w:cs="Arial"/>
          <w:b/>
          <w:highlight w:val="yellow"/>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53"/>
        <w:gridCol w:w="1453"/>
        <w:gridCol w:w="1453"/>
        <w:gridCol w:w="1453"/>
      </w:tblGrid>
      <w:tr w:rsidR="00C54E82" w:rsidTr="00A400FD">
        <w:trPr>
          <w:trHeight w:val="480"/>
        </w:trPr>
        <w:tc>
          <w:tcPr>
            <w:tcW w:w="3544" w:type="dxa"/>
            <w:shd w:val="clear" w:color="000000" w:fill="BFBFBF"/>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Aggregated Funding Gap</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 </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 </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 </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 </w:t>
            </w:r>
          </w:p>
        </w:tc>
      </w:tr>
      <w:tr w:rsidR="00C54E82" w:rsidTr="00A400FD">
        <w:trPr>
          <w:trHeight w:val="345"/>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2019/20 (£m)</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Pr>
                <w:rFonts w:eastAsia="Times New Roman" w:cs="Arial"/>
                <w:lang w:eastAsia="en-GB"/>
              </w:rPr>
              <w:t>60</w:t>
            </w:r>
            <w:r w:rsidRPr="002551E6">
              <w:rPr>
                <w:rFonts w:eastAsia="Times New Roman" w:cs="Arial"/>
                <w:lang w:eastAsia="en-GB"/>
              </w:rPr>
              <w:t>.596</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Pr>
                <w:rFonts w:eastAsia="Times New Roman" w:cs="Arial"/>
                <w:lang w:eastAsia="en-GB"/>
              </w:rPr>
              <w:t>60</w:t>
            </w:r>
            <w:r w:rsidRPr="002551E6">
              <w:rPr>
                <w:rFonts w:eastAsia="Times New Roman" w:cs="Arial"/>
                <w:lang w:eastAsia="en-GB"/>
              </w:rPr>
              <w:t>.596</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6</w:t>
            </w:r>
            <w:r>
              <w:rPr>
                <w:rFonts w:eastAsia="Times New Roman" w:cs="Arial"/>
                <w:lang w:eastAsia="en-GB"/>
              </w:rPr>
              <w:t>0</w:t>
            </w:r>
            <w:r w:rsidRPr="002551E6">
              <w:rPr>
                <w:rFonts w:eastAsia="Times New Roman" w:cs="Arial"/>
                <w:lang w:eastAsia="en-GB"/>
              </w:rPr>
              <w:t>.596</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6</w:t>
            </w:r>
            <w:r>
              <w:rPr>
                <w:rFonts w:eastAsia="Times New Roman" w:cs="Arial"/>
                <w:lang w:eastAsia="en-GB"/>
              </w:rPr>
              <w:t>0</w:t>
            </w:r>
            <w:r w:rsidRPr="002551E6">
              <w:rPr>
                <w:rFonts w:eastAsia="Times New Roman" w:cs="Arial"/>
                <w:lang w:eastAsia="en-GB"/>
              </w:rPr>
              <w:t>.596</w:t>
            </w:r>
          </w:p>
        </w:tc>
      </w:tr>
      <w:tr w:rsidR="00C54E82" w:rsidTr="00A400FD">
        <w:trPr>
          <w:trHeight w:val="345"/>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2020/21 (£m)</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Pr>
                <w:rFonts w:eastAsia="Times New Roman" w:cs="Arial"/>
                <w:lang w:eastAsia="en-GB"/>
              </w:rPr>
              <w:t>50</w:t>
            </w:r>
            <w:r w:rsidRPr="002551E6">
              <w:rPr>
                <w:rFonts w:eastAsia="Times New Roman" w:cs="Arial"/>
                <w:lang w:eastAsia="en-GB"/>
              </w:rPr>
              <w:t>.102</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Pr>
                <w:rFonts w:eastAsia="Times New Roman" w:cs="Arial"/>
                <w:lang w:eastAsia="en-GB"/>
              </w:rPr>
              <w:t>50</w:t>
            </w:r>
            <w:r w:rsidRPr="002551E6">
              <w:rPr>
                <w:rFonts w:eastAsia="Times New Roman" w:cs="Arial"/>
                <w:lang w:eastAsia="en-GB"/>
              </w:rPr>
              <w:t>.102</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Pr>
                <w:rFonts w:eastAsia="Times New Roman" w:cs="Arial"/>
                <w:lang w:eastAsia="en-GB"/>
              </w:rPr>
              <w:t>50</w:t>
            </w:r>
            <w:r w:rsidRPr="002551E6">
              <w:rPr>
                <w:rFonts w:eastAsia="Times New Roman" w:cs="Arial"/>
                <w:lang w:eastAsia="en-GB"/>
              </w:rPr>
              <w:t>.102</w:t>
            </w:r>
          </w:p>
        </w:tc>
      </w:tr>
      <w:tr w:rsidR="00C54E82" w:rsidTr="00A400FD">
        <w:trPr>
          <w:trHeight w:val="435"/>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2021/22 (£m)</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11.633</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11.633</w:t>
            </w:r>
          </w:p>
        </w:tc>
      </w:tr>
      <w:tr w:rsidR="00C54E82" w:rsidTr="00A400FD">
        <w:trPr>
          <w:trHeight w:val="405"/>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2022/23 (£m)</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12.969</w:t>
            </w:r>
          </w:p>
        </w:tc>
      </w:tr>
      <w:tr w:rsidR="00C54E82" w:rsidTr="00A400FD">
        <w:trPr>
          <w:trHeight w:val="330"/>
        </w:trPr>
        <w:tc>
          <w:tcPr>
            <w:tcW w:w="3544" w:type="dxa"/>
            <w:shd w:val="clear" w:color="000000" w:fill="BFBFBF"/>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 xml:space="preserve">Total </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Pr>
                <w:rFonts w:eastAsia="Times New Roman" w:cs="Arial"/>
                <w:b/>
                <w:bCs/>
                <w:lang w:eastAsia="en-GB"/>
              </w:rPr>
              <w:t>60</w:t>
            </w:r>
            <w:r w:rsidRPr="002551E6">
              <w:rPr>
                <w:rFonts w:eastAsia="Times New Roman" w:cs="Arial"/>
                <w:b/>
                <w:bCs/>
                <w:lang w:eastAsia="en-GB"/>
              </w:rPr>
              <w:t>.596</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110.698</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122.331</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135.300</w:t>
            </w:r>
          </w:p>
        </w:tc>
      </w:tr>
      <w:tr w:rsidR="00C54E82" w:rsidTr="00A400FD">
        <w:trPr>
          <w:trHeight w:val="330"/>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 </w:t>
            </w:r>
          </w:p>
        </w:tc>
      </w:tr>
      <w:tr w:rsidR="00C54E82" w:rsidTr="00A400FD">
        <w:trPr>
          <w:trHeight w:val="375"/>
        </w:trPr>
        <w:tc>
          <w:tcPr>
            <w:tcW w:w="3544" w:type="dxa"/>
            <w:shd w:val="clear" w:color="auto" w:fill="auto"/>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Previous position (£m)</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68.410</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118.138</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144.084</w:t>
            </w:r>
          </w:p>
        </w:tc>
        <w:tc>
          <w:tcPr>
            <w:tcW w:w="1453" w:type="dxa"/>
            <w:shd w:val="clear" w:color="auto" w:fill="auto"/>
            <w:vAlign w:val="center"/>
            <w:hideMark/>
          </w:tcPr>
          <w:p w:rsidR="00A400FD" w:rsidRPr="002551E6" w:rsidRDefault="00F0743D" w:rsidP="00A400FD">
            <w:pPr>
              <w:autoSpaceDE/>
              <w:autoSpaceDN/>
              <w:adjustRightInd/>
              <w:spacing w:after="0"/>
              <w:jc w:val="right"/>
              <w:rPr>
                <w:rFonts w:eastAsia="Times New Roman" w:cs="Arial"/>
                <w:lang w:eastAsia="en-GB"/>
              </w:rPr>
            </w:pPr>
            <w:r w:rsidRPr="002551E6">
              <w:rPr>
                <w:rFonts w:eastAsia="Times New Roman" w:cs="Arial"/>
                <w:lang w:eastAsia="en-GB"/>
              </w:rPr>
              <w:t>N/A</w:t>
            </w:r>
          </w:p>
        </w:tc>
      </w:tr>
      <w:tr w:rsidR="00C54E82" w:rsidTr="00A400FD">
        <w:trPr>
          <w:trHeight w:val="360"/>
        </w:trPr>
        <w:tc>
          <w:tcPr>
            <w:tcW w:w="3544" w:type="dxa"/>
            <w:shd w:val="clear" w:color="000000" w:fill="BFBFBF"/>
            <w:vAlign w:val="center"/>
            <w:hideMark/>
          </w:tcPr>
          <w:p w:rsidR="00A400FD" w:rsidRPr="002551E6" w:rsidRDefault="00F0743D" w:rsidP="00A400FD">
            <w:pPr>
              <w:autoSpaceDE/>
              <w:autoSpaceDN/>
              <w:adjustRightInd/>
              <w:spacing w:after="0"/>
              <w:jc w:val="left"/>
              <w:rPr>
                <w:rFonts w:eastAsia="Times New Roman" w:cs="Arial"/>
                <w:b/>
                <w:bCs/>
                <w:lang w:eastAsia="en-GB"/>
              </w:rPr>
            </w:pPr>
            <w:r w:rsidRPr="002551E6">
              <w:rPr>
                <w:rFonts w:eastAsia="Times New Roman" w:cs="Arial"/>
                <w:b/>
                <w:bCs/>
                <w:lang w:eastAsia="en-GB"/>
              </w:rPr>
              <w:t>Variance (£m)</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w:t>
            </w:r>
            <w:r>
              <w:rPr>
                <w:rFonts w:eastAsia="Times New Roman" w:cs="Arial"/>
                <w:b/>
                <w:bCs/>
                <w:lang w:eastAsia="en-GB"/>
              </w:rPr>
              <w:t>7.814</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-7.440</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-21.753</w:t>
            </w:r>
          </w:p>
        </w:tc>
        <w:tc>
          <w:tcPr>
            <w:tcW w:w="1453" w:type="dxa"/>
            <w:shd w:val="clear" w:color="000000" w:fill="BFBFBF"/>
            <w:vAlign w:val="center"/>
            <w:hideMark/>
          </w:tcPr>
          <w:p w:rsidR="00A400FD" w:rsidRPr="002551E6" w:rsidRDefault="00F0743D" w:rsidP="00A400FD">
            <w:pPr>
              <w:autoSpaceDE/>
              <w:autoSpaceDN/>
              <w:adjustRightInd/>
              <w:spacing w:after="0"/>
              <w:jc w:val="right"/>
              <w:rPr>
                <w:rFonts w:eastAsia="Times New Roman" w:cs="Arial"/>
                <w:b/>
                <w:bCs/>
                <w:lang w:eastAsia="en-GB"/>
              </w:rPr>
            </w:pPr>
            <w:r w:rsidRPr="002551E6">
              <w:rPr>
                <w:rFonts w:eastAsia="Times New Roman" w:cs="Arial"/>
                <w:b/>
                <w:bCs/>
                <w:lang w:eastAsia="en-GB"/>
              </w:rPr>
              <w:t>N/A</w:t>
            </w:r>
          </w:p>
        </w:tc>
      </w:tr>
    </w:tbl>
    <w:p w:rsidR="00A400FD" w:rsidRPr="00B50858" w:rsidRDefault="00F0743D" w:rsidP="00A400FD">
      <w:pPr>
        <w:spacing w:after="0"/>
        <w:rPr>
          <w:rFonts w:cs="Arial"/>
        </w:rPr>
      </w:pPr>
      <w:r w:rsidRPr="002551E6">
        <w:rPr>
          <w:rFonts w:cs="Arial"/>
        </w:rPr>
        <w:t xml:space="preserve">The graph </w:t>
      </w:r>
      <w:r w:rsidRPr="00B50858">
        <w:rPr>
          <w:rFonts w:cs="Arial"/>
        </w:rPr>
        <w:t xml:space="preserve">below demonstrates the </w:t>
      </w:r>
      <w:r>
        <w:rPr>
          <w:rFonts w:cs="Arial"/>
        </w:rPr>
        <w:t xml:space="preserve">drivers that make up the changes in the financial gap from £42m to £135m </w:t>
      </w:r>
      <w:r w:rsidRPr="00B50858">
        <w:rPr>
          <w:rFonts w:cs="Arial"/>
        </w:rPr>
        <w:t>shown in the table on the previous page:</w:t>
      </w:r>
    </w:p>
    <w:p w:rsidR="00A400FD" w:rsidRPr="00B50858" w:rsidRDefault="007B1E59" w:rsidP="00A400FD">
      <w:pPr>
        <w:spacing w:after="0"/>
        <w:rPr>
          <w:rFonts w:cs="Arial"/>
        </w:rPr>
      </w:pPr>
    </w:p>
    <w:p w:rsidR="00A400FD" w:rsidRPr="00B50858" w:rsidRDefault="00F0743D" w:rsidP="00A400FD">
      <w:pPr>
        <w:spacing w:after="0"/>
        <w:rPr>
          <w:rFonts w:cs="Arial"/>
          <w:b/>
        </w:rPr>
      </w:pPr>
      <w:r w:rsidRPr="00B50858">
        <w:rPr>
          <w:rFonts w:cs="Arial"/>
          <w:b/>
          <w:noProof/>
          <w:lang w:eastAsia="en-GB"/>
        </w:rPr>
        <w:drawing>
          <wp:inline distT="0" distB="0" distL="0" distR="0">
            <wp:extent cx="5883275" cy="32308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1740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83275" cy="3230880"/>
                    </a:xfrm>
                    <a:prstGeom prst="rect">
                      <a:avLst/>
                    </a:prstGeom>
                    <a:noFill/>
                  </pic:spPr>
                </pic:pic>
              </a:graphicData>
            </a:graphic>
          </wp:inline>
        </w:drawing>
      </w: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B50858" w:rsidRDefault="007B1E59" w:rsidP="00A400FD">
      <w:pPr>
        <w:spacing w:after="0"/>
        <w:rPr>
          <w:rFonts w:cs="Arial"/>
          <w:b/>
        </w:rPr>
      </w:pPr>
    </w:p>
    <w:p w:rsidR="00A400FD" w:rsidRPr="00D3345D" w:rsidRDefault="00F0743D" w:rsidP="00A400FD">
      <w:pPr>
        <w:tabs>
          <w:tab w:val="left" w:pos="567"/>
          <w:tab w:val="left" w:pos="1134"/>
        </w:tabs>
        <w:spacing w:after="0"/>
        <w:rPr>
          <w:rFonts w:cs="Arial"/>
          <w:b/>
        </w:rPr>
      </w:pPr>
      <w:r w:rsidRPr="00D3345D">
        <w:rPr>
          <w:rFonts w:cs="Arial"/>
          <w:b/>
        </w:rPr>
        <w:t>2. Funding</w:t>
      </w:r>
    </w:p>
    <w:p w:rsidR="00A400FD" w:rsidRPr="00084CD2" w:rsidRDefault="007B1E59" w:rsidP="00A400FD">
      <w:pPr>
        <w:tabs>
          <w:tab w:val="left" w:pos="567"/>
          <w:tab w:val="left" w:pos="1134"/>
        </w:tabs>
        <w:spacing w:after="0"/>
        <w:rPr>
          <w:rFonts w:cs="Arial"/>
          <w:b/>
          <w:highlight w:val="yellow"/>
        </w:rPr>
      </w:pPr>
    </w:p>
    <w:p w:rsidR="00A400FD" w:rsidRDefault="00F0743D" w:rsidP="00A400FD">
      <w:pPr>
        <w:tabs>
          <w:tab w:val="left" w:pos="567"/>
          <w:tab w:val="left" w:pos="1134"/>
        </w:tabs>
        <w:spacing w:after="0"/>
        <w:rPr>
          <w:rFonts w:cs="Arial"/>
        </w:rPr>
      </w:pPr>
      <w:r>
        <w:rPr>
          <w:rFonts w:cs="Arial"/>
        </w:rPr>
        <w:t>The funding included within this report reflects the</w:t>
      </w:r>
      <w:r w:rsidRPr="00D3345D">
        <w:rPr>
          <w:rFonts w:cs="Arial"/>
        </w:rPr>
        <w:t xml:space="preserve"> </w:t>
      </w:r>
      <w:r>
        <w:rPr>
          <w:rFonts w:cs="Arial"/>
        </w:rPr>
        <w:t>f</w:t>
      </w:r>
      <w:r w:rsidRPr="00D3345D">
        <w:rPr>
          <w:rFonts w:cs="Arial"/>
        </w:rPr>
        <w:t xml:space="preserve">inal </w:t>
      </w:r>
      <w:r>
        <w:rPr>
          <w:rFonts w:cs="Arial"/>
        </w:rPr>
        <w:t>s</w:t>
      </w:r>
      <w:r w:rsidRPr="00D3345D">
        <w:rPr>
          <w:rFonts w:cs="Arial"/>
        </w:rPr>
        <w:t>ettlement</w:t>
      </w:r>
      <w:r>
        <w:rPr>
          <w:rFonts w:cs="Arial"/>
        </w:rPr>
        <w:t xml:space="preserve"> that was announced</w:t>
      </w:r>
      <w:r w:rsidRPr="00D3345D">
        <w:rPr>
          <w:rFonts w:cs="Arial"/>
        </w:rPr>
        <w:t xml:space="preserve"> on 6</w:t>
      </w:r>
      <w:r w:rsidRPr="00D3345D">
        <w:rPr>
          <w:rFonts w:cs="Arial"/>
          <w:vertAlign w:val="superscript"/>
        </w:rPr>
        <w:t>th</w:t>
      </w:r>
      <w:r w:rsidRPr="00D3345D">
        <w:rPr>
          <w:rFonts w:cs="Arial"/>
        </w:rPr>
        <w:t xml:space="preserve"> February 2018. It is important to note that the proposed allocations issued </w:t>
      </w:r>
      <w:r>
        <w:rPr>
          <w:rFonts w:cs="Arial"/>
        </w:rPr>
        <w:t>by the g</w:t>
      </w:r>
      <w:r w:rsidRPr="00D3345D">
        <w:rPr>
          <w:rFonts w:cs="Arial"/>
        </w:rPr>
        <w:t xml:space="preserve">overnment only cover the </w:t>
      </w:r>
      <w:r>
        <w:rPr>
          <w:rFonts w:cs="Arial"/>
        </w:rPr>
        <w:t>financial years up</w:t>
      </w:r>
      <w:r w:rsidRPr="00D3345D">
        <w:rPr>
          <w:rFonts w:cs="Arial"/>
        </w:rPr>
        <w:t xml:space="preserve"> to </w:t>
      </w:r>
      <w:r>
        <w:rPr>
          <w:rFonts w:cs="Arial"/>
        </w:rPr>
        <w:t xml:space="preserve">and including 2019/20, therefore </w:t>
      </w:r>
      <w:r w:rsidRPr="00D3345D">
        <w:rPr>
          <w:rFonts w:cs="Arial"/>
        </w:rPr>
        <w:t xml:space="preserve">assumptions have had to be made for 2020/21 – 2022/23. </w:t>
      </w:r>
    </w:p>
    <w:p w:rsidR="00A400FD" w:rsidRDefault="007B1E59" w:rsidP="00A400FD">
      <w:pPr>
        <w:tabs>
          <w:tab w:val="left" w:pos="567"/>
          <w:tab w:val="left" w:pos="1134"/>
        </w:tabs>
        <w:spacing w:after="0"/>
        <w:rPr>
          <w:rFonts w:cs="Arial"/>
        </w:rPr>
      </w:pPr>
    </w:p>
    <w:p w:rsidR="00A400FD" w:rsidRPr="00084CD2" w:rsidRDefault="00F0743D" w:rsidP="00A400FD">
      <w:pPr>
        <w:tabs>
          <w:tab w:val="left" w:pos="567"/>
          <w:tab w:val="left" w:pos="1134"/>
        </w:tabs>
        <w:spacing w:after="0"/>
        <w:rPr>
          <w:rFonts w:cs="Arial"/>
          <w:highlight w:val="yellow"/>
        </w:rPr>
      </w:pPr>
      <w:r w:rsidRPr="00D3345D">
        <w:rPr>
          <w:rFonts w:cs="Arial"/>
        </w:rPr>
        <w:t>It is currently an</w:t>
      </w:r>
      <w:r>
        <w:rPr>
          <w:rFonts w:cs="Arial"/>
        </w:rPr>
        <w:t>ticipated that a new system of local g</w:t>
      </w:r>
      <w:r w:rsidRPr="00D3345D">
        <w:rPr>
          <w:rFonts w:cs="Arial"/>
        </w:rPr>
        <w:t>overnment finance will be in place in 2020/21 which invol</w:t>
      </w:r>
      <w:r>
        <w:rPr>
          <w:rFonts w:cs="Arial"/>
        </w:rPr>
        <w:t>ves local g</w:t>
      </w:r>
      <w:r w:rsidRPr="00D3345D">
        <w:rPr>
          <w:rFonts w:cs="Arial"/>
        </w:rPr>
        <w:t xml:space="preserve">overnment retaining </w:t>
      </w:r>
      <w:r>
        <w:rPr>
          <w:rFonts w:cs="Arial"/>
        </w:rPr>
        <w:t>75%</w:t>
      </w:r>
      <w:r w:rsidRPr="00D3345D">
        <w:rPr>
          <w:rFonts w:cs="Arial"/>
        </w:rPr>
        <w:t xml:space="preserve"> of the business rates and a review of the funding formula. However, details of the scheme and the impact on Lancashire are not known at this time therefore the current business rates and grants structure has </w:t>
      </w:r>
      <w:r>
        <w:rPr>
          <w:rFonts w:cs="Arial"/>
        </w:rPr>
        <w:t>been forecast for future years, although it has been assumed that the revenue support grant will cease from 2020/21.</w:t>
      </w:r>
    </w:p>
    <w:p w:rsidR="00A400FD" w:rsidRPr="00084CD2" w:rsidRDefault="007B1E59" w:rsidP="00A400FD">
      <w:pPr>
        <w:tabs>
          <w:tab w:val="left" w:pos="567"/>
          <w:tab w:val="left" w:pos="1134"/>
        </w:tabs>
        <w:spacing w:after="0"/>
        <w:rPr>
          <w:rFonts w:cs="Arial"/>
          <w:highlight w:val="yellow"/>
        </w:rPr>
      </w:pPr>
    </w:p>
    <w:p w:rsidR="00A400FD" w:rsidRPr="00084CD2" w:rsidRDefault="00F0743D" w:rsidP="00A400FD">
      <w:pPr>
        <w:spacing w:after="0"/>
        <w:rPr>
          <w:rFonts w:cs="Arial"/>
          <w:highlight w:val="yellow"/>
        </w:rPr>
      </w:pPr>
      <w:r w:rsidRPr="004150B3">
        <w:rPr>
          <w:rFonts w:cs="Arial"/>
        </w:rPr>
        <w:t xml:space="preserve">The figures above were based on a number of assumptions which have been revisited as part of this report and the latest information available has been included. </w:t>
      </w:r>
      <w:r>
        <w:rPr>
          <w:rFonts w:cs="Arial"/>
        </w:rPr>
        <w:t>T</w:t>
      </w:r>
      <w:r w:rsidRPr="004150B3">
        <w:rPr>
          <w:rFonts w:cs="Arial"/>
        </w:rPr>
        <w:t xml:space="preserve">he revised figures shown below </w:t>
      </w:r>
      <w:r>
        <w:rPr>
          <w:rFonts w:cs="Arial"/>
        </w:rPr>
        <w:t>show c</w:t>
      </w:r>
      <w:r w:rsidRPr="004150B3">
        <w:rPr>
          <w:rFonts w:cs="Arial"/>
        </w:rPr>
        <w:t xml:space="preserve">ouncil </w:t>
      </w:r>
      <w:r>
        <w:rPr>
          <w:rFonts w:cs="Arial"/>
        </w:rPr>
        <w:t>t</w:t>
      </w:r>
      <w:r w:rsidRPr="004150B3">
        <w:rPr>
          <w:rFonts w:cs="Arial"/>
        </w:rPr>
        <w:t>ax increasing by 3.99% in 2019/20 and 1.99% thereafter, however t</w:t>
      </w:r>
      <w:r>
        <w:rPr>
          <w:rFonts w:cs="Arial"/>
        </w:rPr>
        <w:t>his will be a decision made by full c</w:t>
      </w:r>
      <w:r w:rsidRPr="004150B3">
        <w:rPr>
          <w:rFonts w:cs="Arial"/>
        </w:rPr>
        <w:t xml:space="preserve">ouncil each year when setting the budget.  </w:t>
      </w:r>
    </w:p>
    <w:p w:rsidR="00A400FD" w:rsidRPr="00084CD2" w:rsidRDefault="007B1E59" w:rsidP="00A400FD">
      <w:pPr>
        <w:spacing w:after="0"/>
        <w:rPr>
          <w:rFonts w:cs="Arial"/>
          <w:highlight w:val="yellow"/>
        </w:rPr>
      </w:pPr>
    </w:p>
    <w:p w:rsidR="00A400FD" w:rsidRPr="004150B3" w:rsidRDefault="00F0743D" w:rsidP="00A400FD">
      <w:pPr>
        <w:spacing w:after="0"/>
        <w:rPr>
          <w:rFonts w:cs="Arial"/>
        </w:rPr>
      </w:pPr>
      <w:r w:rsidRPr="004150B3">
        <w:rPr>
          <w:rFonts w:cs="Arial"/>
        </w:rPr>
        <w:t>The revised resources position incorporating the details set out below is as follows:</w:t>
      </w:r>
    </w:p>
    <w:p w:rsidR="00A400FD" w:rsidRDefault="007B1E59" w:rsidP="00A400FD">
      <w:pPr>
        <w:spacing w:after="0"/>
        <w:rPr>
          <w:rFonts w:cs="Arial"/>
          <w:highlight w:val="yellow"/>
        </w:rPr>
      </w:pPr>
    </w:p>
    <w:p w:rsidR="00A400FD" w:rsidRPr="00B50858" w:rsidRDefault="00F0743D" w:rsidP="00A400FD">
      <w:pPr>
        <w:spacing w:after="0"/>
        <w:rPr>
          <w:rFonts w:cs="Arial"/>
          <w:b/>
          <w:i/>
          <w:u w:val="single"/>
        </w:rPr>
      </w:pPr>
      <w:r>
        <w:rPr>
          <w:rFonts w:cs="Arial"/>
          <w:b/>
          <w:i/>
          <w:u w:val="single"/>
        </w:rPr>
        <w:t>Table 2</w:t>
      </w:r>
    </w:p>
    <w:p w:rsidR="00A400FD" w:rsidRPr="00084CD2" w:rsidRDefault="007B1E59" w:rsidP="00A400FD">
      <w:pPr>
        <w:spacing w:after="0"/>
        <w:rPr>
          <w:rFonts w:cs="Arial"/>
          <w:highlight w:val="yellow"/>
        </w:rPr>
      </w:pPr>
    </w:p>
    <w:tbl>
      <w:tblPr>
        <w:tblStyle w:val="TableGrid"/>
        <w:tblW w:w="0" w:type="auto"/>
        <w:jc w:val="center"/>
        <w:tblLayout w:type="fixed"/>
        <w:tblLook w:val="04A0" w:firstRow="1" w:lastRow="0" w:firstColumn="1" w:lastColumn="0" w:noHBand="0" w:noVBand="1"/>
      </w:tblPr>
      <w:tblGrid>
        <w:gridCol w:w="3114"/>
        <w:gridCol w:w="1284"/>
        <w:gridCol w:w="1284"/>
        <w:gridCol w:w="1251"/>
        <w:gridCol w:w="1251"/>
      </w:tblGrid>
      <w:tr w:rsidR="00C54E82" w:rsidTr="00A400FD">
        <w:trPr>
          <w:trHeight w:val="593"/>
          <w:jc w:val="center"/>
        </w:trPr>
        <w:tc>
          <w:tcPr>
            <w:tcW w:w="3114" w:type="dxa"/>
            <w:shd w:val="clear" w:color="auto" w:fill="BFBFBF" w:themeFill="background1" w:themeFillShade="BF"/>
            <w:vAlign w:val="center"/>
          </w:tcPr>
          <w:p w:rsidR="00A400FD" w:rsidRPr="00084CD2" w:rsidRDefault="007B1E59" w:rsidP="00A400FD">
            <w:pPr>
              <w:pStyle w:val="NoSpacing"/>
              <w:jc w:val="both"/>
              <w:rPr>
                <w:rFonts w:cs="Arial"/>
                <w:szCs w:val="24"/>
                <w:highlight w:val="yellow"/>
              </w:rPr>
            </w:pPr>
          </w:p>
        </w:tc>
        <w:tc>
          <w:tcPr>
            <w:tcW w:w="1284" w:type="dxa"/>
            <w:shd w:val="clear" w:color="auto" w:fill="BFBFBF" w:themeFill="background1" w:themeFillShade="BF"/>
            <w:vAlign w:val="center"/>
          </w:tcPr>
          <w:p w:rsidR="00A400FD" w:rsidRPr="004150B3" w:rsidRDefault="00F0743D" w:rsidP="00A400FD">
            <w:pPr>
              <w:pStyle w:val="NoSpacing"/>
              <w:jc w:val="center"/>
              <w:rPr>
                <w:rFonts w:cs="Arial"/>
                <w:b/>
                <w:szCs w:val="24"/>
              </w:rPr>
            </w:pPr>
            <w:r w:rsidRPr="004150B3">
              <w:rPr>
                <w:rFonts w:cs="Arial"/>
                <w:b/>
                <w:szCs w:val="24"/>
              </w:rPr>
              <w:t>2019/20</w:t>
            </w:r>
          </w:p>
          <w:p w:rsidR="00A400FD" w:rsidRPr="004150B3" w:rsidRDefault="00F0743D" w:rsidP="00A400FD">
            <w:pPr>
              <w:pStyle w:val="NoSpacing"/>
              <w:jc w:val="center"/>
              <w:rPr>
                <w:rFonts w:cs="Arial"/>
                <w:b/>
                <w:szCs w:val="24"/>
              </w:rPr>
            </w:pPr>
            <w:r w:rsidRPr="004150B3">
              <w:rPr>
                <w:rFonts w:cs="Arial"/>
                <w:b/>
                <w:szCs w:val="24"/>
              </w:rPr>
              <w:t>£m</w:t>
            </w:r>
          </w:p>
        </w:tc>
        <w:tc>
          <w:tcPr>
            <w:tcW w:w="1284" w:type="dxa"/>
            <w:shd w:val="clear" w:color="auto" w:fill="BFBFBF" w:themeFill="background1" w:themeFillShade="BF"/>
            <w:vAlign w:val="center"/>
          </w:tcPr>
          <w:p w:rsidR="00A400FD" w:rsidRPr="004150B3" w:rsidRDefault="00F0743D" w:rsidP="00A400FD">
            <w:pPr>
              <w:pStyle w:val="NoSpacing"/>
              <w:jc w:val="center"/>
              <w:rPr>
                <w:rFonts w:cs="Arial"/>
                <w:b/>
                <w:szCs w:val="24"/>
              </w:rPr>
            </w:pPr>
            <w:r w:rsidRPr="004150B3">
              <w:rPr>
                <w:rFonts w:cs="Arial"/>
                <w:b/>
                <w:szCs w:val="24"/>
              </w:rPr>
              <w:t>2020/21</w:t>
            </w:r>
          </w:p>
          <w:p w:rsidR="00A400FD" w:rsidRPr="004150B3" w:rsidRDefault="00F0743D" w:rsidP="00A400FD">
            <w:pPr>
              <w:pStyle w:val="NoSpacing"/>
              <w:jc w:val="center"/>
              <w:rPr>
                <w:rFonts w:cs="Arial"/>
                <w:b/>
                <w:szCs w:val="24"/>
              </w:rPr>
            </w:pPr>
            <w:r w:rsidRPr="004150B3">
              <w:rPr>
                <w:rFonts w:cs="Arial"/>
                <w:b/>
                <w:szCs w:val="24"/>
              </w:rPr>
              <w:t>£m</w:t>
            </w:r>
          </w:p>
        </w:tc>
        <w:tc>
          <w:tcPr>
            <w:tcW w:w="1251" w:type="dxa"/>
            <w:shd w:val="clear" w:color="auto" w:fill="BFBFBF" w:themeFill="background1" w:themeFillShade="BF"/>
          </w:tcPr>
          <w:p w:rsidR="00A400FD" w:rsidRPr="004150B3" w:rsidRDefault="00F0743D" w:rsidP="00A400FD">
            <w:pPr>
              <w:pStyle w:val="NoSpacing"/>
              <w:jc w:val="center"/>
              <w:rPr>
                <w:rFonts w:cs="Arial"/>
                <w:b/>
                <w:szCs w:val="24"/>
              </w:rPr>
            </w:pPr>
            <w:r w:rsidRPr="004150B3">
              <w:rPr>
                <w:rFonts w:cs="Arial"/>
                <w:b/>
                <w:szCs w:val="24"/>
              </w:rPr>
              <w:t>2021/22 £m</w:t>
            </w:r>
          </w:p>
        </w:tc>
        <w:tc>
          <w:tcPr>
            <w:tcW w:w="1251" w:type="dxa"/>
            <w:shd w:val="clear" w:color="auto" w:fill="BFBFBF" w:themeFill="background1" w:themeFillShade="BF"/>
          </w:tcPr>
          <w:p w:rsidR="00A400FD" w:rsidRPr="004150B3" w:rsidRDefault="00F0743D" w:rsidP="00A400FD">
            <w:pPr>
              <w:pStyle w:val="NoSpacing"/>
              <w:jc w:val="center"/>
              <w:rPr>
                <w:rFonts w:cs="Arial"/>
                <w:b/>
                <w:szCs w:val="24"/>
              </w:rPr>
            </w:pPr>
            <w:r w:rsidRPr="004150B3">
              <w:rPr>
                <w:rFonts w:cs="Arial"/>
                <w:b/>
                <w:szCs w:val="24"/>
              </w:rPr>
              <w:t>2022/23</w:t>
            </w:r>
          </w:p>
          <w:p w:rsidR="00A400FD" w:rsidRPr="004150B3" w:rsidRDefault="00F0743D" w:rsidP="00A400FD">
            <w:pPr>
              <w:pStyle w:val="NoSpacing"/>
              <w:jc w:val="center"/>
              <w:rPr>
                <w:rFonts w:cs="Arial"/>
                <w:b/>
                <w:szCs w:val="24"/>
              </w:rPr>
            </w:pPr>
            <w:r w:rsidRPr="004150B3">
              <w:rPr>
                <w:rFonts w:cs="Arial"/>
                <w:b/>
                <w:szCs w:val="24"/>
              </w:rPr>
              <w:t>£m</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Revenue Support Grant</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32.894</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c>
          <w:tcPr>
            <w:tcW w:w="1251"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c>
          <w:tcPr>
            <w:tcW w:w="1251"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Business Rates</w:t>
            </w:r>
          </w:p>
        </w:tc>
        <w:tc>
          <w:tcPr>
            <w:tcW w:w="1284" w:type="dxa"/>
            <w:vAlign w:val="center"/>
          </w:tcPr>
          <w:p w:rsidR="00A400FD" w:rsidRPr="002F7643" w:rsidRDefault="00F0743D" w:rsidP="00A400FD">
            <w:pPr>
              <w:pStyle w:val="NoSpacing"/>
              <w:spacing w:line="276" w:lineRule="auto"/>
              <w:jc w:val="right"/>
              <w:rPr>
                <w:rFonts w:cs="Arial"/>
                <w:szCs w:val="24"/>
              </w:rPr>
            </w:pPr>
            <w:r w:rsidRPr="002F7643">
              <w:rPr>
                <w:rFonts w:cs="Arial"/>
                <w:szCs w:val="24"/>
              </w:rPr>
              <w:t>194.88</w:t>
            </w:r>
            <w:r>
              <w:rPr>
                <w:rFonts w:cs="Arial"/>
                <w:szCs w:val="24"/>
              </w:rPr>
              <w:t>7</w:t>
            </w:r>
          </w:p>
        </w:tc>
        <w:tc>
          <w:tcPr>
            <w:tcW w:w="1284" w:type="dxa"/>
            <w:vAlign w:val="center"/>
          </w:tcPr>
          <w:p w:rsidR="00A400FD" w:rsidRPr="00B32253" w:rsidRDefault="00F0743D" w:rsidP="00A400FD">
            <w:pPr>
              <w:pStyle w:val="NoSpacing"/>
              <w:spacing w:line="276" w:lineRule="auto"/>
              <w:jc w:val="right"/>
              <w:rPr>
                <w:rFonts w:cs="Arial"/>
                <w:szCs w:val="24"/>
              </w:rPr>
            </w:pPr>
            <w:r w:rsidRPr="00B32253">
              <w:rPr>
                <w:rFonts w:cs="Arial"/>
                <w:color w:val="000000"/>
                <w:szCs w:val="24"/>
              </w:rPr>
              <w:t>198.989</w:t>
            </w:r>
          </w:p>
        </w:tc>
        <w:tc>
          <w:tcPr>
            <w:tcW w:w="1251" w:type="dxa"/>
            <w:vAlign w:val="center"/>
          </w:tcPr>
          <w:p w:rsidR="00A400FD" w:rsidRPr="00B32253" w:rsidRDefault="00F0743D" w:rsidP="00A400FD">
            <w:pPr>
              <w:pStyle w:val="NoSpacing"/>
              <w:spacing w:line="276" w:lineRule="auto"/>
              <w:jc w:val="right"/>
              <w:rPr>
                <w:rFonts w:cs="Arial"/>
                <w:szCs w:val="24"/>
              </w:rPr>
            </w:pPr>
            <w:r w:rsidRPr="00B32253">
              <w:rPr>
                <w:rFonts w:cs="Arial"/>
                <w:color w:val="000000"/>
                <w:szCs w:val="24"/>
              </w:rPr>
              <w:t>204.431</w:t>
            </w:r>
          </w:p>
        </w:tc>
        <w:tc>
          <w:tcPr>
            <w:tcW w:w="1251" w:type="dxa"/>
            <w:vAlign w:val="center"/>
          </w:tcPr>
          <w:p w:rsidR="00A400FD" w:rsidRPr="00B32253" w:rsidRDefault="00F0743D" w:rsidP="00A400FD">
            <w:pPr>
              <w:pStyle w:val="NoSpacing"/>
              <w:spacing w:line="276" w:lineRule="auto"/>
              <w:jc w:val="right"/>
              <w:rPr>
                <w:rFonts w:cs="Arial"/>
                <w:szCs w:val="24"/>
                <w:highlight w:val="yellow"/>
              </w:rPr>
            </w:pPr>
            <w:r w:rsidRPr="00B32253">
              <w:rPr>
                <w:rFonts w:cs="Arial"/>
                <w:color w:val="000000"/>
                <w:szCs w:val="24"/>
              </w:rPr>
              <w:t>210.043</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Council Tax</w:t>
            </w:r>
          </w:p>
        </w:tc>
        <w:tc>
          <w:tcPr>
            <w:tcW w:w="1284" w:type="dxa"/>
            <w:vAlign w:val="center"/>
          </w:tcPr>
          <w:p w:rsidR="00A400FD" w:rsidRPr="002F7643" w:rsidRDefault="00F0743D" w:rsidP="00A400FD">
            <w:pPr>
              <w:pStyle w:val="NoSpacing"/>
              <w:spacing w:line="276" w:lineRule="auto"/>
              <w:jc w:val="right"/>
              <w:rPr>
                <w:rFonts w:cs="Arial"/>
                <w:szCs w:val="24"/>
              </w:rPr>
            </w:pPr>
            <w:r>
              <w:rPr>
                <w:rFonts w:cs="Arial"/>
                <w:szCs w:val="24"/>
              </w:rPr>
              <w:t>495.510</w:t>
            </w:r>
          </w:p>
        </w:tc>
        <w:tc>
          <w:tcPr>
            <w:tcW w:w="1284" w:type="dxa"/>
            <w:vAlign w:val="center"/>
          </w:tcPr>
          <w:p w:rsidR="00A400FD" w:rsidRPr="002F7643" w:rsidRDefault="00F0743D" w:rsidP="00A400FD">
            <w:pPr>
              <w:pStyle w:val="NoSpacing"/>
              <w:spacing w:line="276" w:lineRule="auto"/>
              <w:jc w:val="right"/>
              <w:rPr>
                <w:rFonts w:cs="Arial"/>
                <w:szCs w:val="24"/>
              </w:rPr>
            </w:pPr>
            <w:r w:rsidRPr="002F7643">
              <w:rPr>
                <w:rFonts w:cs="Arial"/>
                <w:szCs w:val="24"/>
              </w:rPr>
              <w:t>51</w:t>
            </w:r>
            <w:r>
              <w:rPr>
                <w:rFonts w:cs="Arial"/>
                <w:szCs w:val="24"/>
              </w:rPr>
              <w:t>3</w:t>
            </w:r>
            <w:r w:rsidRPr="002F7643">
              <w:rPr>
                <w:rFonts w:cs="Arial"/>
                <w:szCs w:val="24"/>
              </w:rPr>
              <w:t>.9</w:t>
            </w:r>
            <w:r>
              <w:rPr>
                <w:rFonts w:cs="Arial"/>
                <w:szCs w:val="24"/>
              </w:rPr>
              <w:t>64</w:t>
            </w:r>
          </w:p>
        </w:tc>
        <w:tc>
          <w:tcPr>
            <w:tcW w:w="1251" w:type="dxa"/>
            <w:vAlign w:val="center"/>
          </w:tcPr>
          <w:p w:rsidR="00A400FD" w:rsidRPr="002F7643" w:rsidRDefault="00F0743D" w:rsidP="00A400FD">
            <w:pPr>
              <w:pStyle w:val="NoSpacing"/>
              <w:spacing w:line="276" w:lineRule="auto"/>
              <w:jc w:val="right"/>
              <w:rPr>
                <w:rFonts w:cs="Arial"/>
                <w:szCs w:val="24"/>
              </w:rPr>
            </w:pPr>
            <w:r w:rsidRPr="002F7643">
              <w:rPr>
                <w:rFonts w:cs="Arial"/>
                <w:szCs w:val="24"/>
              </w:rPr>
              <w:t>5</w:t>
            </w:r>
            <w:r>
              <w:rPr>
                <w:rFonts w:cs="Arial"/>
                <w:szCs w:val="24"/>
              </w:rPr>
              <w:t>33</w:t>
            </w:r>
            <w:r w:rsidRPr="002F7643">
              <w:rPr>
                <w:rFonts w:cs="Arial"/>
                <w:szCs w:val="24"/>
              </w:rPr>
              <w:t>.</w:t>
            </w:r>
            <w:r>
              <w:rPr>
                <w:rFonts w:cs="Arial"/>
                <w:szCs w:val="24"/>
              </w:rPr>
              <w:t>102</w:t>
            </w:r>
          </w:p>
        </w:tc>
        <w:tc>
          <w:tcPr>
            <w:tcW w:w="1251" w:type="dxa"/>
            <w:vAlign w:val="center"/>
          </w:tcPr>
          <w:p w:rsidR="00A400FD" w:rsidRPr="00B32253" w:rsidRDefault="00F0743D" w:rsidP="00A400FD">
            <w:pPr>
              <w:pStyle w:val="NoSpacing"/>
              <w:spacing w:line="276" w:lineRule="auto"/>
              <w:jc w:val="right"/>
              <w:rPr>
                <w:rFonts w:cs="Arial"/>
                <w:szCs w:val="24"/>
              </w:rPr>
            </w:pPr>
            <w:r w:rsidRPr="00B32253">
              <w:rPr>
                <w:rFonts w:cs="Arial"/>
                <w:szCs w:val="24"/>
              </w:rPr>
              <w:t>552.951</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New Homes Bonus</w:t>
            </w:r>
          </w:p>
        </w:tc>
        <w:tc>
          <w:tcPr>
            <w:tcW w:w="1284" w:type="dxa"/>
            <w:vAlign w:val="center"/>
          </w:tcPr>
          <w:p w:rsidR="00A400FD" w:rsidRPr="002F7643" w:rsidRDefault="00F0743D" w:rsidP="00A400FD">
            <w:pPr>
              <w:pStyle w:val="NoSpacing"/>
              <w:spacing w:line="276" w:lineRule="auto"/>
              <w:jc w:val="right"/>
              <w:rPr>
                <w:rFonts w:cs="Arial"/>
                <w:szCs w:val="24"/>
              </w:rPr>
            </w:pPr>
            <w:r>
              <w:rPr>
                <w:rFonts w:cs="Arial"/>
                <w:szCs w:val="24"/>
              </w:rPr>
              <w:t>3.472</w:t>
            </w:r>
          </w:p>
        </w:tc>
        <w:tc>
          <w:tcPr>
            <w:tcW w:w="1284" w:type="dxa"/>
            <w:vAlign w:val="center"/>
          </w:tcPr>
          <w:p w:rsidR="00A400FD" w:rsidRPr="002F7643" w:rsidRDefault="00F0743D" w:rsidP="00A400FD">
            <w:pPr>
              <w:pStyle w:val="NoSpacing"/>
              <w:spacing w:line="276" w:lineRule="auto"/>
              <w:jc w:val="right"/>
              <w:rPr>
                <w:rFonts w:cs="Arial"/>
                <w:szCs w:val="24"/>
              </w:rPr>
            </w:pPr>
            <w:r w:rsidRPr="002F7643">
              <w:rPr>
                <w:rFonts w:cs="Arial"/>
                <w:szCs w:val="24"/>
              </w:rPr>
              <w:t>3.</w:t>
            </w:r>
            <w:r>
              <w:rPr>
                <w:rFonts w:cs="Arial"/>
                <w:szCs w:val="24"/>
              </w:rPr>
              <w:t>019</w:t>
            </w:r>
          </w:p>
        </w:tc>
        <w:tc>
          <w:tcPr>
            <w:tcW w:w="1251" w:type="dxa"/>
            <w:vAlign w:val="center"/>
          </w:tcPr>
          <w:p w:rsidR="00A400FD" w:rsidRPr="002F7643" w:rsidRDefault="00F0743D" w:rsidP="00A400FD">
            <w:pPr>
              <w:pStyle w:val="NoSpacing"/>
              <w:spacing w:line="276" w:lineRule="auto"/>
              <w:jc w:val="right"/>
              <w:rPr>
                <w:rFonts w:cs="Arial"/>
                <w:szCs w:val="24"/>
              </w:rPr>
            </w:pPr>
            <w:r>
              <w:rPr>
                <w:rFonts w:cs="Arial"/>
                <w:szCs w:val="24"/>
              </w:rPr>
              <w:t>3.010</w:t>
            </w:r>
          </w:p>
        </w:tc>
        <w:tc>
          <w:tcPr>
            <w:tcW w:w="1251" w:type="dxa"/>
            <w:vAlign w:val="center"/>
          </w:tcPr>
          <w:p w:rsidR="00A400FD" w:rsidRPr="00B32253" w:rsidRDefault="00F0743D" w:rsidP="00A400FD">
            <w:pPr>
              <w:pStyle w:val="NoSpacing"/>
              <w:spacing w:line="276" w:lineRule="auto"/>
              <w:jc w:val="right"/>
              <w:rPr>
                <w:rFonts w:cs="Arial"/>
                <w:szCs w:val="24"/>
              </w:rPr>
            </w:pPr>
            <w:r w:rsidRPr="00B32253">
              <w:rPr>
                <w:rFonts w:cs="Arial"/>
                <w:szCs w:val="24"/>
              </w:rPr>
              <w:t>3.010</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Better Care Fund</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40.014</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40.014</w:t>
            </w:r>
          </w:p>
        </w:tc>
        <w:tc>
          <w:tcPr>
            <w:tcW w:w="1251"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40.014</w:t>
            </w:r>
          </w:p>
        </w:tc>
        <w:tc>
          <w:tcPr>
            <w:tcW w:w="1251" w:type="dxa"/>
            <w:vAlign w:val="center"/>
          </w:tcPr>
          <w:p w:rsidR="00A400FD" w:rsidRPr="00B32253" w:rsidRDefault="00F0743D" w:rsidP="00A400FD">
            <w:pPr>
              <w:pStyle w:val="NoSpacing"/>
              <w:spacing w:line="276" w:lineRule="auto"/>
              <w:jc w:val="right"/>
              <w:rPr>
                <w:rFonts w:cs="Arial"/>
                <w:szCs w:val="24"/>
              </w:rPr>
            </w:pPr>
            <w:r w:rsidRPr="00B32253">
              <w:rPr>
                <w:rFonts w:cs="Arial"/>
                <w:szCs w:val="24"/>
              </w:rPr>
              <w:t>40.014</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sidRPr="004150B3">
              <w:rPr>
                <w:rFonts w:cs="Arial"/>
                <w:szCs w:val="24"/>
              </w:rPr>
              <w:t>Capital receipts</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c>
          <w:tcPr>
            <w:tcW w:w="1284"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c>
          <w:tcPr>
            <w:tcW w:w="1251"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c>
          <w:tcPr>
            <w:tcW w:w="1251" w:type="dxa"/>
            <w:vAlign w:val="center"/>
          </w:tcPr>
          <w:p w:rsidR="00A400FD" w:rsidRPr="004150B3" w:rsidRDefault="00F0743D" w:rsidP="00A400FD">
            <w:pPr>
              <w:pStyle w:val="NoSpacing"/>
              <w:spacing w:line="276" w:lineRule="auto"/>
              <w:jc w:val="right"/>
              <w:rPr>
                <w:rFonts w:cs="Arial"/>
                <w:szCs w:val="24"/>
              </w:rPr>
            </w:pPr>
            <w:r w:rsidRPr="004150B3">
              <w:rPr>
                <w:rFonts w:cs="Arial"/>
                <w:szCs w:val="24"/>
              </w:rPr>
              <w:t>0.000</w:t>
            </w:r>
          </w:p>
        </w:tc>
      </w:tr>
      <w:tr w:rsidR="00C54E82" w:rsidTr="00A400FD">
        <w:trPr>
          <w:trHeight w:val="552"/>
          <w:jc w:val="center"/>
        </w:trPr>
        <w:tc>
          <w:tcPr>
            <w:tcW w:w="3114" w:type="dxa"/>
            <w:vAlign w:val="center"/>
          </w:tcPr>
          <w:p w:rsidR="00A400FD" w:rsidRPr="004150B3" w:rsidRDefault="00F0743D" w:rsidP="00A400FD">
            <w:pPr>
              <w:pStyle w:val="NoSpacing"/>
              <w:spacing w:line="276" w:lineRule="auto"/>
              <w:rPr>
                <w:rFonts w:cs="Arial"/>
                <w:szCs w:val="24"/>
              </w:rPr>
            </w:pPr>
            <w:r>
              <w:rPr>
                <w:rFonts w:cs="Arial"/>
                <w:szCs w:val="24"/>
              </w:rPr>
              <w:t>Collection Fund Surplus</w:t>
            </w:r>
          </w:p>
        </w:tc>
        <w:tc>
          <w:tcPr>
            <w:tcW w:w="1284" w:type="dxa"/>
            <w:vAlign w:val="center"/>
          </w:tcPr>
          <w:p w:rsidR="00A400FD" w:rsidRPr="004150B3" w:rsidRDefault="00F0743D" w:rsidP="00A400FD">
            <w:pPr>
              <w:pStyle w:val="NoSpacing"/>
              <w:spacing w:line="276" w:lineRule="auto"/>
              <w:jc w:val="right"/>
              <w:rPr>
                <w:rFonts w:cs="Arial"/>
                <w:szCs w:val="24"/>
              </w:rPr>
            </w:pPr>
            <w:r>
              <w:rPr>
                <w:rFonts w:cs="Arial"/>
                <w:szCs w:val="24"/>
              </w:rPr>
              <w:t>3.000</w:t>
            </w:r>
          </w:p>
        </w:tc>
        <w:tc>
          <w:tcPr>
            <w:tcW w:w="1284" w:type="dxa"/>
            <w:vAlign w:val="center"/>
          </w:tcPr>
          <w:p w:rsidR="00A400FD" w:rsidRPr="004150B3" w:rsidRDefault="00F0743D" w:rsidP="00A400FD">
            <w:pPr>
              <w:pStyle w:val="NoSpacing"/>
              <w:spacing w:line="276" w:lineRule="auto"/>
              <w:jc w:val="right"/>
              <w:rPr>
                <w:rFonts w:cs="Arial"/>
                <w:szCs w:val="24"/>
              </w:rPr>
            </w:pPr>
            <w:r>
              <w:rPr>
                <w:rFonts w:cs="Arial"/>
                <w:szCs w:val="24"/>
              </w:rPr>
              <w:t>3.000</w:t>
            </w:r>
          </w:p>
        </w:tc>
        <w:tc>
          <w:tcPr>
            <w:tcW w:w="1251" w:type="dxa"/>
            <w:vAlign w:val="center"/>
          </w:tcPr>
          <w:p w:rsidR="00A400FD" w:rsidRPr="004150B3" w:rsidRDefault="00F0743D" w:rsidP="00A400FD">
            <w:pPr>
              <w:pStyle w:val="NoSpacing"/>
              <w:spacing w:line="276" w:lineRule="auto"/>
              <w:jc w:val="right"/>
              <w:rPr>
                <w:rFonts w:cs="Arial"/>
                <w:szCs w:val="24"/>
              </w:rPr>
            </w:pPr>
            <w:r>
              <w:rPr>
                <w:rFonts w:cs="Arial"/>
                <w:szCs w:val="24"/>
              </w:rPr>
              <w:t>3.000</w:t>
            </w:r>
          </w:p>
        </w:tc>
        <w:tc>
          <w:tcPr>
            <w:tcW w:w="1251" w:type="dxa"/>
            <w:vAlign w:val="center"/>
          </w:tcPr>
          <w:p w:rsidR="00A400FD" w:rsidRPr="004150B3" w:rsidRDefault="00F0743D" w:rsidP="00A400FD">
            <w:pPr>
              <w:pStyle w:val="NoSpacing"/>
              <w:spacing w:line="276" w:lineRule="auto"/>
              <w:jc w:val="right"/>
              <w:rPr>
                <w:rFonts w:cs="Arial"/>
                <w:szCs w:val="24"/>
              </w:rPr>
            </w:pPr>
            <w:r>
              <w:rPr>
                <w:rFonts w:cs="Arial"/>
                <w:szCs w:val="24"/>
              </w:rPr>
              <w:t>3.000</w:t>
            </w:r>
          </w:p>
        </w:tc>
      </w:tr>
      <w:tr w:rsidR="00C54E82" w:rsidTr="00A400FD">
        <w:trPr>
          <w:trHeight w:val="552"/>
          <w:jc w:val="center"/>
        </w:trPr>
        <w:tc>
          <w:tcPr>
            <w:tcW w:w="3114" w:type="dxa"/>
            <w:shd w:val="clear" w:color="auto" w:fill="BFBFBF" w:themeFill="background1" w:themeFillShade="BF"/>
            <w:vAlign w:val="center"/>
          </w:tcPr>
          <w:p w:rsidR="00A400FD" w:rsidRPr="004150B3" w:rsidRDefault="00F0743D" w:rsidP="00A400FD">
            <w:pPr>
              <w:pStyle w:val="NoSpacing"/>
              <w:spacing w:line="276" w:lineRule="auto"/>
              <w:jc w:val="both"/>
              <w:rPr>
                <w:rFonts w:cs="Arial"/>
                <w:b/>
                <w:szCs w:val="24"/>
              </w:rPr>
            </w:pPr>
            <w:r w:rsidRPr="004150B3">
              <w:rPr>
                <w:rFonts w:cs="Arial"/>
                <w:b/>
                <w:szCs w:val="24"/>
              </w:rPr>
              <w:t>Total</w:t>
            </w:r>
          </w:p>
        </w:tc>
        <w:tc>
          <w:tcPr>
            <w:tcW w:w="1284" w:type="dxa"/>
            <w:shd w:val="clear" w:color="auto" w:fill="BFBFBF" w:themeFill="background1" w:themeFillShade="BF"/>
            <w:vAlign w:val="bottom"/>
          </w:tcPr>
          <w:p w:rsidR="00A400FD" w:rsidRPr="00773C02" w:rsidRDefault="00F0743D" w:rsidP="00A400FD">
            <w:pPr>
              <w:spacing w:line="276" w:lineRule="auto"/>
              <w:jc w:val="right"/>
              <w:rPr>
                <w:rFonts w:cs="Arial"/>
                <w:b/>
                <w:lang w:eastAsia="en-GB"/>
              </w:rPr>
            </w:pPr>
            <w:r w:rsidRPr="00773C02">
              <w:rPr>
                <w:rFonts w:cs="Arial"/>
                <w:b/>
                <w:lang w:eastAsia="en-GB"/>
              </w:rPr>
              <w:t>76</w:t>
            </w:r>
            <w:r>
              <w:rPr>
                <w:rFonts w:cs="Arial"/>
                <w:b/>
                <w:lang w:eastAsia="en-GB"/>
              </w:rPr>
              <w:t>9</w:t>
            </w:r>
            <w:r w:rsidRPr="00773C02">
              <w:rPr>
                <w:rFonts w:cs="Arial"/>
                <w:b/>
                <w:lang w:eastAsia="en-GB"/>
              </w:rPr>
              <w:t>.</w:t>
            </w:r>
            <w:r>
              <w:rPr>
                <w:rFonts w:cs="Arial"/>
                <w:b/>
                <w:lang w:eastAsia="en-GB"/>
              </w:rPr>
              <w:t>777</w:t>
            </w:r>
          </w:p>
        </w:tc>
        <w:tc>
          <w:tcPr>
            <w:tcW w:w="1284" w:type="dxa"/>
            <w:shd w:val="clear" w:color="auto" w:fill="BFBFBF" w:themeFill="background1" w:themeFillShade="BF"/>
            <w:vAlign w:val="bottom"/>
          </w:tcPr>
          <w:p w:rsidR="00A400FD" w:rsidRPr="00773C02" w:rsidRDefault="00F0743D" w:rsidP="00A400FD">
            <w:pPr>
              <w:spacing w:line="276" w:lineRule="auto"/>
              <w:jc w:val="right"/>
              <w:rPr>
                <w:rFonts w:cs="Arial"/>
                <w:b/>
                <w:lang w:eastAsia="en-GB"/>
              </w:rPr>
            </w:pPr>
            <w:r>
              <w:rPr>
                <w:rFonts w:cs="Arial"/>
                <w:b/>
              </w:rPr>
              <w:t>758.986</w:t>
            </w:r>
          </w:p>
        </w:tc>
        <w:tc>
          <w:tcPr>
            <w:tcW w:w="1251" w:type="dxa"/>
            <w:shd w:val="clear" w:color="auto" w:fill="BFBFBF" w:themeFill="background1" w:themeFillShade="BF"/>
            <w:vAlign w:val="bottom"/>
          </w:tcPr>
          <w:p w:rsidR="00A400FD" w:rsidRPr="00773C02" w:rsidRDefault="00F0743D" w:rsidP="00A400FD">
            <w:pPr>
              <w:spacing w:line="276" w:lineRule="auto"/>
              <w:jc w:val="right"/>
              <w:rPr>
                <w:rFonts w:cs="Arial"/>
                <w:b/>
                <w:lang w:eastAsia="en-GB"/>
              </w:rPr>
            </w:pPr>
            <w:r>
              <w:rPr>
                <w:rFonts w:cs="Arial"/>
                <w:b/>
              </w:rPr>
              <w:t>783.557</w:t>
            </w:r>
          </w:p>
        </w:tc>
        <w:tc>
          <w:tcPr>
            <w:tcW w:w="1251" w:type="dxa"/>
            <w:shd w:val="clear" w:color="auto" w:fill="BFBFBF" w:themeFill="background1" w:themeFillShade="BF"/>
            <w:vAlign w:val="center"/>
          </w:tcPr>
          <w:p w:rsidR="00A400FD" w:rsidRPr="00773C02" w:rsidRDefault="00F0743D" w:rsidP="00A400FD">
            <w:pPr>
              <w:spacing w:after="0" w:line="276" w:lineRule="auto"/>
              <w:jc w:val="right"/>
              <w:rPr>
                <w:rFonts w:cs="Arial"/>
                <w:b/>
              </w:rPr>
            </w:pPr>
            <w:r>
              <w:rPr>
                <w:rFonts w:cs="Arial"/>
                <w:b/>
              </w:rPr>
              <w:t>809.018</w:t>
            </w:r>
          </w:p>
        </w:tc>
      </w:tr>
      <w:tr w:rsidR="00C54E82" w:rsidTr="00A400FD">
        <w:trPr>
          <w:trHeight w:val="313"/>
          <w:jc w:val="center"/>
        </w:trPr>
        <w:tc>
          <w:tcPr>
            <w:tcW w:w="3114" w:type="dxa"/>
            <w:shd w:val="clear" w:color="auto" w:fill="auto"/>
            <w:vAlign w:val="center"/>
          </w:tcPr>
          <w:p w:rsidR="00A400FD" w:rsidRPr="004150B3" w:rsidRDefault="007B1E59" w:rsidP="00A400FD">
            <w:pPr>
              <w:pStyle w:val="NoSpacing"/>
              <w:spacing w:line="276" w:lineRule="auto"/>
              <w:jc w:val="both"/>
              <w:rPr>
                <w:rFonts w:cs="Arial"/>
                <w:b/>
                <w:szCs w:val="24"/>
              </w:rPr>
            </w:pPr>
          </w:p>
        </w:tc>
        <w:tc>
          <w:tcPr>
            <w:tcW w:w="1284" w:type="dxa"/>
            <w:shd w:val="clear" w:color="auto" w:fill="auto"/>
            <w:vAlign w:val="bottom"/>
          </w:tcPr>
          <w:p w:rsidR="00A400FD" w:rsidRPr="00773C02" w:rsidRDefault="007B1E59" w:rsidP="00A400FD">
            <w:pPr>
              <w:spacing w:line="276" w:lineRule="auto"/>
              <w:jc w:val="right"/>
              <w:rPr>
                <w:rFonts w:cs="Arial"/>
                <w:b/>
                <w:lang w:eastAsia="en-GB"/>
              </w:rPr>
            </w:pPr>
          </w:p>
        </w:tc>
        <w:tc>
          <w:tcPr>
            <w:tcW w:w="1284" w:type="dxa"/>
            <w:shd w:val="clear" w:color="auto" w:fill="auto"/>
            <w:vAlign w:val="bottom"/>
          </w:tcPr>
          <w:p w:rsidR="00A400FD" w:rsidRDefault="007B1E59" w:rsidP="00A400FD">
            <w:pPr>
              <w:spacing w:line="276" w:lineRule="auto"/>
              <w:jc w:val="right"/>
              <w:rPr>
                <w:rFonts w:cs="Arial"/>
                <w:b/>
              </w:rPr>
            </w:pPr>
          </w:p>
        </w:tc>
        <w:tc>
          <w:tcPr>
            <w:tcW w:w="1251" w:type="dxa"/>
            <w:shd w:val="clear" w:color="auto" w:fill="auto"/>
            <w:vAlign w:val="bottom"/>
          </w:tcPr>
          <w:p w:rsidR="00A400FD" w:rsidRDefault="007B1E59" w:rsidP="00A400FD">
            <w:pPr>
              <w:spacing w:line="276" w:lineRule="auto"/>
              <w:jc w:val="right"/>
              <w:rPr>
                <w:rFonts w:cs="Arial"/>
                <w:b/>
              </w:rPr>
            </w:pPr>
          </w:p>
        </w:tc>
        <w:tc>
          <w:tcPr>
            <w:tcW w:w="1251" w:type="dxa"/>
            <w:shd w:val="clear" w:color="auto" w:fill="auto"/>
            <w:vAlign w:val="center"/>
          </w:tcPr>
          <w:p w:rsidR="00A400FD" w:rsidRDefault="007B1E59" w:rsidP="00A400FD">
            <w:pPr>
              <w:spacing w:after="0" w:line="276" w:lineRule="auto"/>
              <w:jc w:val="right"/>
              <w:rPr>
                <w:rFonts w:cs="Arial"/>
                <w:b/>
              </w:rPr>
            </w:pPr>
          </w:p>
        </w:tc>
      </w:tr>
      <w:tr w:rsidR="00C54E82" w:rsidTr="00A400FD">
        <w:trPr>
          <w:trHeight w:val="552"/>
          <w:jc w:val="center"/>
        </w:trPr>
        <w:tc>
          <w:tcPr>
            <w:tcW w:w="3114" w:type="dxa"/>
            <w:shd w:val="clear" w:color="auto" w:fill="auto"/>
            <w:vAlign w:val="center"/>
          </w:tcPr>
          <w:p w:rsidR="00A400FD" w:rsidRPr="004150B3" w:rsidRDefault="00F0743D" w:rsidP="00A400FD">
            <w:pPr>
              <w:pStyle w:val="NoSpacing"/>
              <w:spacing w:line="276" w:lineRule="auto"/>
              <w:rPr>
                <w:rFonts w:cs="Arial"/>
                <w:b/>
                <w:szCs w:val="24"/>
              </w:rPr>
            </w:pPr>
            <w:r>
              <w:rPr>
                <w:rFonts w:cs="Arial"/>
                <w:b/>
                <w:szCs w:val="24"/>
              </w:rPr>
              <w:t>Funding - Previous MTFS</w:t>
            </w:r>
          </w:p>
        </w:tc>
        <w:tc>
          <w:tcPr>
            <w:tcW w:w="1284" w:type="dxa"/>
            <w:shd w:val="clear" w:color="auto" w:fill="auto"/>
            <w:vAlign w:val="bottom"/>
          </w:tcPr>
          <w:p w:rsidR="00A400FD" w:rsidRPr="00773C02" w:rsidRDefault="00F0743D" w:rsidP="00A400FD">
            <w:pPr>
              <w:spacing w:line="276" w:lineRule="auto"/>
              <w:jc w:val="right"/>
              <w:rPr>
                <w:rFonts w:cs="Arial"/>
                <w:b/>
                <w:lang w:eastAsia="en-GB"/>
              </w:rPr>
            </w:pPr>
            <w:r>
              <w:rPr>
                <w:rFonts w:cs="Arial"/>
                <w:b/>
                <w:lang w:eastAsia="en-GB"/>
              </w:rPr>
              <w:t>774.512</w:t>
            </w:r>
          </w:p>
        </w:tc>
        <w:tc>
          <w:tcPr>
            <w:tcW w:w="1284" w:type="dxa"/>
            <w:shd w:val="clear" w:color="auto" w:fill="auto"/>
            <w:vAlign w:val="bottom"/>
          </w:tcPr>
          <w:p w:rsidR="00A400FD" w:rsidRDefault="00F0743D" w:rsidP="00A400FD">
            <w:pPr>
              <w:spacing w:line="276" w:lineRule="auto"/>
              <w:jc w:val="right"/>
              <w:rPr>
                <w:rFonts w:cs="Arial"/>
                <w:b/>
              </w:rPr>
            </w:pPr>
            <w:r>
              <w:rPr>
                <w:rFonts w:cs="Arial"/>
                <w:b/>
              </w:rPr>
              <w:t>763.823</w:t>
            </w:r>
          </w:p>
        </w:tc>
        <w:tc>
          <w:tcPr>
            <w:tcW w:w="1251" w:type="dxa"/>
            <w:shd w:val="clear" w:color="auto" w:fill="auto"/>
            <w:vAlign w:val="bottom"/>
          </w:tcPr>
          <w:p w:rsidR="00A400FD" w:rsidRDefault="00F0743D" w:rsidP="00A400FD">
            <w:pPr>
              <w:spacing w:line="276" w:lineRule="auto"/>
              <w:jc w:val="right"/>
              <w:rPr>
                <w:rFonts w:cs="Arial"/>
                <w:b/>
              </w:rPr>
            </w:pPr>
            <w:r>
              <w:rPr>
                <w:rFonts w:cs="Arial"/>
                <w:b/>
              </w:rPr>
              <w:t>777.612</w:t>
            </w:r>
          </w:p>
        </w:tc>
        <w:tc>
          <w:tcPr>
            <w:tcW w:w="1251" w:type="dxa"/>
            <w:shd w:val="clear" w:color="auto" w:fill="auto"/>
            <w:vAlign w:val="center"/>
          </w:tcPr>
          <w:p w:rsidR="00A400FD" w:rsidRDefault="00F0743D" w:rsidP="00A400FD">
            <w:pPr>
              <w:spacing w:after="0" w:line="276" w:lineRule="auto"/>
              <w:jc w:val="right"/>
              <w:rPr>
                <w:rFonts w:cs="Arial"/>
                <w:b/>
              </w:rPr>
            </w:pPr>
            <w:r>
              <w:rPr>
                <w:rFonts w:cs="Arial"/>
                <w:b/>
              </w:rPr>
              <w:t>N/A</w:t>
            </w:r>
          </w:p>
        </w:tc>
      </w:tr>
      <w:tr w:rsidR="00C54E82" w:rsidTr="00A400FD">
        <w:trPr>
          <w:trHeight w:val="552"/>
          <w:jc w:val="center"/>
        </w:trPr>
        <w:tc>
          <w:tcPr>
            <w:tcW w:w="3114" w:type="dxa"/>
            <w:shd w:val="clear" w:color="auto" w:fill="BFBFBF" w:themeFill="background1" w:themeFillShade="BF"/>
            <w:vAlign w:val="center"/>
          </w:tcPr>
          <w:p w:rsidR="00A400FD" w:rsidRPr="004150B3" w:rsidRDefault="00F0743D" w:rsidP="00A400FD">
            <w:pPr>
              <w:pStyle w:val="NoSpacing"/>
              <w:spacing w:line="276" w:lineRule="auto"/>
              <w:jc w:val="both"/>
              <w:rPr>
                <w:rFonts w:cs="Arial"/>
                <w:b/>
                <w:szCs w:val="24"/>
              </w:rPr>
            </w:pPr>
            <w:r>
              <w:rPr>
                <w:rFonts w:cs="Arial"/>
                <w:b/>
                <w:szCs w:val="24"/>
              </w:rPr>
              <w:t xml:space="preserve">Variance </w:t>
            </w:r>
          </w:p>
        </w:tc>
        <w:tc>
          <w:tcPr>
            <w:tcW w:w="1284" w:type="dxa"/>
            <w:shd w:val="clear" w:color="auto" w:fill="BFBFBF" w:themeFill="background1" w:themeFillShade="BF"/>
            <w:vAlign w:val="bottom"/>
          </w:tcPr>
          <w:p w:rsidR="00A400FD" w:rsidRPr="00773C02" w:rsidRDefault="00F0743D" w:rsidP="00A400FD">
            <w:pPr>
              <w:spacing w:line="276" w:lineRule="auto"/>
              <w:jc w:val="right"/>
              <w:rPr>
                <w:rFonts w:cs="Arial"/>
                <w:b/>
                <w:lang w:eastAsia="en-GB"/>
              </w:rPr>
            </w:pPr>
            <w:r>
              <w:rPr>
                <w:rFonts w:cs="Arial"/>
                <w:b/>
                <w:lang w:eastAsia="en-GB"/>
              </w:rPr>
              <w:t>-4.735</w:t>
            </w:r>
          </w:p>
        </w:tc>
        <w:tc>
          <w:tcPr>
            <w:tcW w:w="1284" w:type="dxa"/>
            <w:shd w:val="clear" w:color="auto" w:fill="BFBFBF" w:themeFill="background1" w:themeFillShade="BF"/>
            <w:vAlign w:val="bottom"/>
          </w:tcPr>
          <w:p w:rsidR="00A400FD" w:rsidRDefault="00F0743D" w:rsidP="00A400FD">
            <w:pPr>
              <w:spacing w:line="276" w:lineRule="auto"/>
              <w:jc w:val="right"/>
              <w:rPr>
                <w:rFonts w:cs="Arial"/>
                <w:b/>
              </w:rPr>
            </w:pPr>
            <w:r>
              <w:rPr>
                <w:rFonts w:cs="Arial"/>
                <w:b/>
              </w:rPr>
              <w:t>-4.837</w:t>
            </w:r>
          </w:p>
        </w:tc>
        <w:tc>
          <w:tcPr>
            <w:tcW w:w="1251" w:type="dxa"/>
            <w:shd w:val="clear" w:color="auto" w:fill="BFBFBF" w:themeFill="background1" w:themeFillShade="BF"/>
            <w:vAlign w:val="bottom"/>
          </w:tcPr>
          <w:p w:rsidR="00A400FD" w:rsidRDefault="00F0743D" w:rsidP="00A400FD">
            <w:pPr>
              <w:spacing w:line="276" w:lineRule="auto"/>
              <w:jc w:val="right"/>
              <w:rPr>
                <w:rFonts w:cs="Arial"/>
                <w:b/>
              </w:rPr>
            </w:pPr>
            <w:r>
              <w:rPr>
                <w:rFonts w:cs="Arial"/>
                <w:b/>
              </w:rPr>
              <w:t>5.945</w:t>
            </w:r>
          </w:p>
        </w:tc>
        <w:tc>
          <w:tcPr>
            <w:tcW w:w="1251" w:type="dxa"/>
            <w:shd w:val="clear" w:color="auto" w:fill="BFBFBF" w:themeFill="background1" w:themeFillShade="BF"/>
            <w:vAlign w:val="center"/>
          </w:tcPr>
          <w:p w:rsidR="00A400FD" w:rsidRDefault="00F0743D" w:rsidP="00A400FD">
            <w:pPr>
              <w:spacing w:after="0" w:line="276" w:lineRule="auto"/>
              <w:jc w:val="right"/>
              <w:rPr>
                <w:rFonts w:cs="Arial"/>
                <w:b/>
              </w:rPr>
            </w:pPr>
            <w:r>
              <w:rPr>
                <w:rFonts w:cs="Arial"/>
                <w:b/>
              </w:rPr>
              <w:t>N/A</w:t>
            </w:r>
          </w:p>
        </w:tc>
      </w:tr>
      <w:tr w:rsidR="00C54E82" w:rsidTr="00A400FD">
        <w:trPr>
          <w:trHeight w:val="552"/>
          <w:jc w:val="center"/>
        </w:trPr>
        <w:tc>
          <w:tcPr>
            <w:tcW w:w="3114" w:type="dxa"/>
            <w:shd w:val="clear" w:color="auto" w:fill="BFBFBF" w:themeFill="background1" w:themeFillShade="BF"/>
            <w:vAlign w:val="center"/>
          </w:tcPr>
          <w:p w:rsidR="00A400FD" w:rsidRDefault="00F0743D" w:rsidP="00A400FD">
            <w:pPr>
              <w:pStyle w:val="NoSpacing"/>
              <w:spacing w:line="276" w:lineRule="auto"/>
              <w:jc w:val="both"/>
              <w:rPr>
                <w:rFonts w:cs="Arial"/>
                <w:b/>
                <w:szCs w:val="24"/>
              </w:rPr>
            </w:pPr>
            <w:r>
              <w:rPr>
                <w:rFonts w:cs="Arial"/>
                <w:b/>
                <w:szCs w:val="24"/>
              </w:rPr>
              <w:t>Impact on financial gap</w:t>
            </w:r>
          </w:p>
        </w:tc>
        <w:tc>
          <w:tcPr>
            <w:tcW w:w="1284" w:type="dxa"/>
            <w:shd w:val="clear" w:color="auto" w:fill="BFBFBF" w:themeFill="background1" w:themeFillShade="BF"/>
            <w:vAlign w:val="bottom"/>
          </w:tcPr>
          <w:p w:rsidR="00A400FD" w:rsidRDefault="00F0743D" w:rsidP="00A400FD">
            <w:pPr>
              <w:spacing w:line="276" w:lineRule="auto"/>
              <w:jc w:val="right"/>
              <w:rPr>
                <w:rFonts w:cs="Arial"/>
                <w:b/>
                <w:lang w:eastAsia="en-GB"/>
              </w:rPr>
            </w:pPr>
            <w:r>
              <w:rPr>
                <w:rFonts w:cs="Arial"/>
                <w:b/>
                <w:lang w:eastAsia="en-GB"/>
              </w:rPr>
              <w:t>4.735</w:t>
            </w:r>
          </w:p>
        </w:tc>
        <w:tc>
          <w:tcPr>
            <w:tcW w:w="1284" w:type="dxa"/>
            <w:shd w:val="clear" w:color="auto" w:fill="BFBFBF" w:themeFill="background1" w:themeFillShade="BF"/>
            <w:vAlign w:val="bottom"/>
          </w:tcPr>
          <w:p w:rsidR="00A400FD" w:rsidRDefault="00F0743D" w:rsidP="00A400FD">
            <w:pPr>
              <w:spacing w:line="276" w:lineRule="auto"/>
              <w:jc w:val="right"/>
              <w:rPr>
                <w:rFonts w:cs="Arial"/>
                <w:b/>
              </w:rPr>
            </w:pPr>
            <w:r>
              <w:rPr>
                <w:rFonts w:cs="Arial"/>
                <w:b/>
              </w:rPr>
              <w:t>0.102</w:t>
            </w:r>
          </w:p>
        </w:tc>
        <w:tc>
          <w:tcPr>
            <w:tcW w:w="1251" w:type="dxa"/>
            <w:shd w:val="clear" w:color="auto" w:fill="BFBFBF" w:themeFill="background1" w:themeFillShade="BF"/>
            <w:vAlign w:val="bottom"/>
          </w:tcPr>
          <w:p w:rsidR="00A400FD" w:rsidRDefault="00F0743D" w:rsidP="00A400FD">
            <w:pPr>
              <w:spacing w:line="276" w:lineRule="auto"/>
              <w:jc w:val="right"/>
              <w:rPr>
                <w:rFonts w:cs="Arial"/>
                <w:b/>
              </w:rPr>
            </w:pPr>
            <w:r>
              <w:rPr>
                <w:rFonts w:cs="Arial"/>
                <w:b/>
              </w:rPr>
              <w:t>-10.782</w:t>
            </w:r>
          </w:p>
        </w:tc>
        <w:tc>
          <w:tcPr>
            <w:tcW w:w="1251" w:type="dxa"/>
            <w:shd w:val="clear" w:color="auto" w:fill="BFBFBF" w:themeFill="background1" w:themeFillShade="BF"/>
            <w:vAlign w:val="center"/>
          </w:tcPr>
          <w:p w:rsidR="00A400FD" w:rsidRDefault="00F0743D" w:rsidP="00A400FD">
            <w:pPr>
              <w:spacing w:after="0" w:line="276" w:lineRule="auto"/>
              <w:jc w:val="right"/>
              <w:rPr>
                <w:rFonts w:cs="Arial"/>
                <w:b/>
              </w:rPr>
            </w:pPr>
            <w:r>
              <w:rPr>
                <w:rFonts w:cs="Arial"/>
                <w:b/>
              </w:rPr>
              <w:t>N/A</w:t>
            </w:r>
          </w:p>
        </w:tc>
      </w:tr>
    </w:tbl>
    <w:p w:rsidR="00A400FD" w:rsidRDefault="00F0743D" w:rsidP="00A400FD">
      <w:pPr>
        <w:spacing w:after="0"/>
        <w:rPr>
          <w:rFonts w:cs="Arial"/>
          <w:b/>
        </w:rPr>
      </w:pPr>
      <w:r>
        <w:rPr>
          <w:rFonts w:cs="Arial"/>
          <w:b/>
        </w:rPr>
        <w:t>2.1</w:t>
      </w:r>
      <w:r w:rsidRPr="005630EB">
        <w:rPr>
          <w:rFonts w:cs="Arial"/>
          <w:b/>
        </w:rPr>
        <w:t xml:space="preserve"> </w:t>
      </w:r>
      <w:r>
        <w:rPr>
          <w:rFonts w:cs="Arial"/>
          <w:b/>
        </w:rPr>
        <w:t>Council Tax and Business Rates</w:t>
      </w:r>
      <w:r w:rsidRPr="005630EB">
        <w:rPr>
          <w:rFonts w:cs="Arial"/>
          <w:b/>
        </w:rPr>
        <w:t xml:space="preserve"> </w:t>
      </w:r>
    </w:p>
    <w:p w:rsidR="00A400FD" w:rsidRDefault="007B1E59" w:rsidP="00A400FD">
      <w:pPr>
        <w:spacing w:after="0"/>
        <w:rPr>
          <w:rFonts w:cs="Arial"/>
          <w:highlight w:val="yellow"/>
        </w:rPr>
      </w:pPr>
    </w:p>
    <w:p w:rsidR="00A400FD" w:rsidRDefault="00F0743D" w:rsidP="00A400FD">
      <w:pPr>
        <w:spacing w:after="0"/>
        <w:rPr>
          <w:rFonts w:cs="Arial"/>
          <w:b/>
          <w:i/>
        </w:rPr>
      </w:pPr>
      <w:r w:rsidRPr="00E64801">
        <w:rPr>
          <w:rFonts w:cs="Arial"/>
          <w:b/>
          <w:i/>
        </w:rPr>
        <w:t>2.11 Council Tax</w:t>
      </w:r>
    </w:p>
    <w:p w:rsidR="00A400FD" w:rsidRPr="00E64801" w:rsidRDefault="007B1E59" w:rsidP="00A400FD">
      <w:pPr>
        <w:spacing w:after="0"/>
        <w:rPr>
          <w:rFonts w:cs="Arial"/>
          <w:b/>
          <w:i/>
        </w:rPr>
      </w:pPr>
    </w:p>
    <w:p w:rsidR="00A400FD" w:rsidRDefault="00F0743D" w:rsidP="00A400FD">
      <w:pPr>
        <w:spacing w:after="0"/>
        <w:rPr>
          <w:rFonts w:cs="Arial"/>
        </w:rPr>
      </w:pPr>
      <w:r>
        <w:rPr>
          <w:rFonts w:cs="Arial"/>
        </w:rPr>
        <w:t xml:space="preserve">The MTFS currently has the following assumptions in relation to increases in council tax, </w:t>
      </w:r>
      <w:r w:rsidRPr="003701EF">
        <w:rPr>
          <w:rFonts w:cs="Arial"/>
        </w:rPr>
        <w:t>however t</w:t>
      </w:r>
      <w:r>
        <w:rPr>
          <w:rFonts w:cs="Arial"/>
        </w:rPr>
        <w:t>his will be a decision made by f</w:t>
      </w:r>
      <w:r w:rsidRPr="003701EF">
        <w:rPr>
          <w:rFonts w:cs="Arial"/>
        </w:rPr>
        <w:t xml:space="preserve">ull </w:t>
      </w:r>
      <w:r>
        <w:rPr>
          <w:rFonts w:cs="Arial"/>
        </w:rPr>
        <w:t>c</w:t>
      </w:r>
      <w:r w:rsidRPr="003701EF">
        <w:rPr>
          <w:rFonts w:cs="Arial"/>
        </w:rPr>
        <w:t xml:space="preserve">ouncil each year when setting the budget.  </w:t>
      </w:r>
    </w:p>
    <w:p w:rsidR="00A400FD" w:rsidRDefault="007B1E59" w:rsidP="00A400FD">
      <w:pPr>
        <w:spacing w:after="0"/>
        <w:rPr>
          <w:rFonts w:cs="Arial"/>
        </w:rPr>
      </w:pPr>
    </w:p>
    <w:p w:rsidR="00A400FD" w:rsidRPr="00B50858" w:rsidRDefault="00F0743D" w:rsidP="00A400FD">
      <w:pPr>
        <w:spacing w:after="0"/>
        <w:rPr>
          <w:rFonts w:cs="Arial"/>
          <w:b/>
          <w:i/>
          <w:u w:val="single"/>
        </w:rPr>
      </w:pPr>
      <w:r w:rsidRPr="00B50858">
        <w:rPr>
          <w:rFonts w:cs="Arial"/>
          <w:b/>
          <w:i/>
          <w:u w:val="single"/>
        </w:rPr>
        <w:t>Table 3</w:t>
      </w:r>
    </w:p>
    <w:p w:rsidR="00A400FD" w:rsidRDefault="007B1E59" w:rsidP="00A400FD">
      <w:pPr>
        <w:spacing w:after="0"/>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C54E82" w:rsidTr="00A400FD">
        <w:tc>
          <w:tcPr>
            <w:tcW w:w="1803" w:type="dxa"/>
          </w:tcPr>
          <w:p w:rsidR="00A400FD" w:rsidRDefault="007B1E59" w:rsidP="00A400FD">
            <w:pPr>
              <w:spacing w:after="0"/>
              <w:rPr>
                <w:rFonts w:cs="Arial"/>
              </w:rPr>
            </w:pPr>
          </w:p>
        </w:tc>
        <w:tc>
          <w:tcPr>
            <w:tcW w:w="1803" w:type="dxa"/>
            <w:vAlign w:val="center"/>
          </w:tcPr>
          <w:p w:rsidR="00A400FD" w:rsidRPr="00E64801" w:rsidRDefault="00F0743D" w:rsidP="00A400FD">
            <w:pPr>
              <w:spacing w:after="0"/>
              <w:jc w:val="center"/>
              <w:rPr>
                <w:rFonts w:cs="Arial"/>
                <w:sz w:val="20"/>
                <w:szCs w:val="20"/>
              </w:rPr>
            </w:pPr>
            <w:r>
              <w:rPr>
                <w:rFonts w:cs="Arial"/>
                <w:sz w:val="20"/>
                <w:szCs w:val="20"/>
              </w:rPr>
              <w:t>Council Tax i</w:t>
            </w:r>
            <w:r w:rsidRPr="00E64801">
              <w:rPr>
                <w:rFonts w:cs="Arial"/>
                <w:sz w:val="20"/>
                <w:szCs w:val="20"/>
              </w:rPr>
              <w:t>ncrease (without the requirement for a referendum)</w:t>
            </w:r>
          </w:p>
        </w:tc>
        <w:tc>
          <w:tcPr>
            <w:tcW w:w="1803" w:type="dxa"/>
            <w:vAlign w:val="center"/>
          </w:tcPr>
          <w:p w:rsidR="00A400FD" w:rsidRPr="00E64801" w:rsidRDefault="00F0743D" w:rsidP="00A400FD">
            <w:pPr>
              <w:spacing w:after="0"/>
              <w:jc w:val="center"/>
              <w:rPr>
                <w:rFonts w:cs="Arial"/>
                <w:sz w:val="20"/>
                <w:szCs w:val="20"/>
              </w:rPr>
            </w:pPr>
            <w:r w:rsidRPr="00E64801">
              <w:rPr>
                <w:rFonts w:cs="Arial"/>
                <w:sz w:val="20"/>
                <w:szCs w:val="20"/>
              </w:rPr>
              <w:t>Additional council tax flexibility</w:t>
            </w:r>
          </w:p>
        </w:tc>
        <w:tc>
          <w:tcPr>
            <w:tcW w:w="1803" w:type="dxa"/>
            <w:vAlign w:val="center"/>
          </w:tcPr>
          <w:p w:rsidR="00A400FD" w:rsidRPr="00E64801" w:rsidRDefault="00F0743D" w:rsidP="00A400FD">
            <w:pPr>
              <w:spacing w:after="0"/>
              <w:jc w:val="center"/>
              <w:rPr>
                <w:rFonts w:cs="Arial"/>
                <w:sz w:val="20"/>
                <w:szCs w:val="20"/>
              </w:rPr>
            </w:pPr>
            <w:r w:rsidRPr="00E64801">
              <w:rPr>
                <w:rFonts w:cs="Arial"/>
                <w:sz w:val="20"/>
                <w:szCs w:val="20"/>
              </w:rPr>
              <w:t>Adult Social Care Precept</w:t>
            </w:r>
          </w:p>
        </w:tc>
        <w:tc>
          <w:tcPr>
            <w:tcW w:w="1804" w:type="dxa"/>
            <w:vAlign w:val="center"/>
          </w:tcPr>
          <w:p w:rsidR="00A400FD" w:rsidRPr="00E64801" w:rsidRDefault="00F0743D" w:rsidP="00A400FD">
            <w:pPr>
              <w:spacing w:after="0"/>
              <w:jc w:val="center"/>
              <w:rPr>
                <w:rFonts w:cs="Arial"/>
                <w:sz w:val="20"/>
                <w:szCs w:val="20"/>
              </w:rPr>
            </w:pPr>
            <w:r w:rsidRPr="00E64801">
              <w:rPr>
                <w:rFonts w:cs="Arial"/>
                <w:sz w:val="20"/>
                <w:szCs w:val="20"/>
              </w:rPr>
              <w:t>Total council tax increase</w:t>
            </w:r>
          </w:p>
        </w:tc>
      </w:tr>
      <w:tr w:rsidR="00C54E82" w:rsidTr="00A400FD">
        <w:tc>
          <w:tcPr>
            <w:tcW w:w="1803" w:type="dxa"/>
          </w:tcPr>
          <w:p w:rsidR="00A400FD" w:rsidRDefault="00F0743D" w:rsidP="00A400FD">
            <w:pPr>
              <w:spacing w:after="0"/>
              <w:rPr>
                <w:rFonts w:cs="Arial"/>
              </w:rPr>
            </w:pPr>
            <w:r>
              <w:rPr>
                <w:rFonts w:cs="Arial"/>
              </w:rPr>
              <w:t>2019/20</w:t>
            </w:r>
          </w:p>
        </w:tc>
        <w:tc>
          <w:tcPr>
            <w:tcW w:w="1803" w:type="dxa"/>
          </w:tcPr>
          <w:p w:rsidR="00A400FD" w:rsidRDefault="00F0743D" w:rsidP="00A400FD">
            <w:pPr>
              <w:spacing w:after="0"/>
              <w:jc w:val="right"/>
              <w:rPr>
                <w:rFonts w:cs="Arial"/>
              </w:rPr>
            </w:pPr>
            <w:r>
              <w:rPr>
                <w:rFonts w:cs="Arial"/>
              </w:rPr>
              <w:t>1.99%</w:t>
            </w:r>
          </w:p>
        </w:tc>
        <w:tc>
          <w:tcPr>
            <w:tcW w:w="1803" w:type="dxa"/>
          </w:tcPr>
          <w:p w:rsidR="00A400FD" w:rsidRDefault="00F0743D" w:rsidP="00A400FD">
            <w:pPr>
              <w:spacing w:after="0"/>
              <w:jc w:val="right"/>
              <w:rPr>
                <w:rFonts w:cs="Arial"/>
              </w:rPr>
            </w:pPr>
            <w:r>
              <w:rPr>
                <w:rFonts w:cs="Arial"/>
              </w:rPr>
              <w:t>1.00%</w:t>
            </w:r>
          </w:p>
        </w:tc>
        <w:tc>
          <w:tcPr>
            <w:tcW w:w="1803" w:type="dxa"/>
          </w:tcPr>
          <w:p w:rsidR="00A400FD" w:rsidRDefault="00F0743D" w:rsidP="00A400FD">
            <w:pPr>
              <w:spacing w:after="0"/>
              <w:jc w:val="right"/>
              <w:rPr>
                <w:rFonts w:cs="Arial"/>
              </w:rPr>
            </w:pPr>
            <w:r>
              <w:rPr>
                <w:rFonts w:cs="Arial"/>
              </w:rPr>
              <w:t>1.00%</w:t>
            </w:r>
          </w:p>
        </w:tc>
        <w:tc>
          <w:tcPr>
            <w:tcW w:w="1804" w:type="dxa"/>
          </w:tcPr>
          <w:p w:rsidR="00A400FD" w:rsidRDefault="00F0743D" w:rsidP="00A400FD">
            <w:pPr>
              <w:spacing w:after="0"/>
              <w:jc w:val="right"/>
              <w:rPr>
                <w:rFonts w:cs="Arial"/>
              </w:rPr>
            </w:pPr>
            <w:r>
              <w:rPr>
                <w:rFonts w:cs="Arial"/>
              </w:rPr>
              <w:t>3.99%</w:t>
            </w:r>
          </w:p>
        </w:tc>
      </w:tr>
      <w:tr w:rsidR="00C54E82" w:rsidTr="00A400FD">
        <w:tc>
          <w:tcPr>
            <w:tcW w:w="1803" w:type="dxa"/>
          </w:tcPr>
          <w:p w:rsidR="00A400FD" w:rsidRDefault="00F0743D" w:rsidP="00A400FD">
            <w:pPr>
              <w:spacing w:after="0"/>
              <w:rPr>
                <w:rFonts w:cs="Arial"/>
              </w:rPr>
            </w:pPr>
            <w:r>
              <w:rPr>
                <w:rFonts w:cs="Arial"/>
              </w:rPr>
              <w:t>2020/21</w:t>
            </w:r>
          </w:p>
        </w:tc>
        <w:tc>
          <w:tcPr>
            <w:tcW w:w="1803" w:type="dxa"/>
          </w:tcPr>
          <w:p w:rsidR="00A400FD" w:rsidRDefault="00F0743D" w:rsidP="00A400FD">
            <w:pPr>
              <w:spacing w:after="0"/>
              <w:jc w:val="right"/>
              <w:rPr>
                <w:rFonts w:cs="Arial"/>
              </w:rPr>
            </w:pPr>
            <w:r>
              <w:rPr>
                <w:rFonts w:cs="Arial"/>
              </w:rPr>
              <w:t>1.99%</w:t>
            </w:r>
          </w:p>
        </w:tc>
        <w:tc>
          <w:tcPr>
            <w:tcW w:w="1803" w:type="dxa"/>
          </w:tcPr>
          <w:p w:rsidR="00A400FD" w:rsidRDefault="007B1E59" w:rsidP="00A400FD">
            <w:pPr>
              <w:spacing w:after="0"/>
              <w:jc w:val="right"/>
              <w:rPr>
                <w:rFonts w:cs="Arial"/>
              </w:rPr>
            </w:pPr>
          </w:p>
        </w:tc>
        <w:tc>
          <w:tcPr>
            <w:tcW w:w="1803" w:type="dxa"/>
          </w:tcPr>
          <w:p w:rsidR="00A400FD" w:rsidRDefault="007B1E59" w:rsidP="00A400FD">
            <w:pPr>
              <w:spacing w:after="0"/>
              <w:jc w:val="right"/>
              <w:rPr>
                <w:rFonts w:cs="Arial"/>
              </w:rPr>
            </w:pPr>
          </w:p>
        </w:tc>
        <w:tc>
          <w:tcPr>
            <w:tcW w:w="1804" w:type="dxa"/>
          </w:tcPr>
          <w:p w:rsidR="00A400FD" w:rsidRDefault="00F0743D" w:rsidP="00A400FD">
            <w:pPr>
              <w:spacing w:after="0"/>
              <w:jc w:val="right"/>
              <w:rPr>
                <w:rFonts w:cs="Arial"/>
              </w:rPr>
            </w:pPr>
            <w:r>
              <w:rPr>
                <w:rFonts w:cs="Arial"/>
              </w:rPr>
              <w:t>1.99%</w:t>
            </w:r>
          </w:p>
        </w:tc>
      </w:tr>
      <w:tr w:rsidR="00C54E82" w:rsidTr="00A400FD">
        <w:tc>
          <w:tcPr>
            <w:tcW w:w="1803" w:type="dxa"/>
          </w:tcPr>
          <w:p w:rsidR="00A400FD" w:rsidRDefault="00F0743D" w:rsidP="00A400FD">
            <w:pPr>
              <w:spacing w:after="0"/>
              <w:rPr>
                <w:rFonts w:cs="Arial"/>
              </w:rPr>
            </w:pPr>
            <w:r>
              <w:rPr>
                <w:rFonts w:cs="Arial"/>
              </w:rPr>
              <w:t>2021/22</w:t>
            </w:r>
          </w:p>
        </w:tc>
        <w:tc>
          <w:tcPr>
            <w:tcW w:w="1803" w:type="dxa"/>
          </w:tcPr>
          <w:p w:rsidR="00A400FD" w:rsidRDefault="00F0743D" w:rsidP="00A400FD">
            <w:pPr>
              <w:spacing w:after="0"/>
              <w:jc w:val="right"/>
              <w:rPr>
                <w:rFonts w:cs="Arial"/>
              </w:rPr>
            </w:pPr>
            <w:r>
              <w:rPr>
                <w:rFonts w:cs="Arial"/>
              </w:rPr>
              <w:t>1.99%</w:t>
            </w:r>
          </w:p>
        </w:tc>
        <w:tc>
          <w:tcPr>
            <w:tcW w:w="1803" w:type="dxa"/>
          </w:tcPr>
          <w:p w:rsidR="00A400FD" w:rsidRDefault="007B1E59" w:rsidP="00A400FD">
            <w:pPr>
              <w:spacing w:after="0"/>
              <w:jc w:val="right"/>
              <w:rPr>
                <w:rFonts w:cs="Arial"/>
              </w:rPr>
            </w:pPr>
          </w:p>
        </w:tc>
        <w:tc>
          <w:tcPr>
            <w:tcW w:w="1803" w:type="dxa"/>
          </w:tcPr>
          <w:p w:rsidR="00A400FD" w:rsidRDefault="007B1E59" w:rsidP="00A400FD">
            <w:pPr>
              <w:spacing w:after="0"/>
              <w:jc w:val="right"/>
              <w:rPr>
                <w:rFonts w:cs="Arial"/>
              </w:rPr>
            </w:pPr>
          </w:p>
        </w:tc>
        <w:tc>
          <w:tcPr>
            <w:tcW w:w="1804" w:type="dxa"/>
          </w:tcPr>
          <w:p w:rsidR="00A400FD" w:rsidRDefault="00F0743D" w:rsidP="00A400FD">
            <w:pPr>
              <w:spacing w:after="0"/>
              <w:jc w:val="right"/>
              <w:rPr>
                <w:rFonts w:cs="Arial"/>
              </w:rPr>
            </w:pPr>
            <w:r>
              <w:rPr>
                <w:rFonts w:cs="Arial"/>
              </w:rPr>
              <w:t>1.99%</w:t>
            </w:r>
          </w:p>
        </w:tc>
      </w:tr>
      <w:tr w:rsidR="00C54E82" w:rsidTr="00A400FD">
        <w:tc>
          <w:tcPr>
            <w:tcW w:w="1803" w:type="dxa"/>
          </w:tcPr>
          <w:p w:rsidR="00A400FD" w:rsidRDefault="00F0743D" w:rsidP="00A400FD">
            <w:pPr>
              <w:spacing w:after="0"/>
              <w:rPr>
                <w:rFonts w:cs="Arial"/>
              </w:rPr>
            </w:pPr>
            <w:r>
              <w:rPr>
                <w:rFonts w:cs="Arial"/>
              </w:rPr>
              <w:t>2022/23</w:t>
            </w:r>
          </w:p>
        </w:tc>
        <w:tc>
          <w:tcPr>
            <w:tcW w:w="1803" w:type="dxa"/>
          </w:tcPr>
          <w:p w:rsidR="00A400FD" w:rsidRDefault="00F0743D" w:rsidP="00A400FD">
            <w:pPr>
              <w:spacing w:after="0"/>
              <w:jc w:val="right"/>
              <w:rPr>
                <w:rFonts w:cs="Arial"/>
              </w:rPr>
            </w:pPr>
            <w:r>
              <w:rPr>
                <w:rFonts w:cs="Arial"/>
              </w:rPr>
              <w:t>1.99%</w:t>
            </w:r>
          </w:p>
        </w:tc>
        <w:tc>
          <w:tcPr>
            <w:tcW w:w="1803" w:type="dxa"/>
          </w:tcPr>
          <w:p w:rsidR="00A400FD" w:rsidRDefault="007B1E59" w:rsidP="00A400FD">
            <w:pPr>
              <w:spacing w:after="0"/>
              <w:jc w:val="right"/>
              <w:rPr>
                <w:rFonts w:cs="Arial"/>
              </w:rPr>
            </w:pPr>
          </w:p>
        </w:tc>
        <w:tc>
          <w:tcPr>
            <w:tcW w:w="1803" w:type="dxa"/>
          </w:tcPr>
          <w:p w:rsidR="00A400FD" w:rsidRDefault="007B1E59" w:rsidP="00A400FD">
            <w:pPr>
              <w:spacing w:after="0"/>
              <w:jc w:val="right"/>
              <w:rPr>
                <w:rFonts w:cs="Arial"/>
              </w:rPr>
            </w:pPr>
          </w:p>
        </w:tc>
        <w:tc>
          <w:tcPr>
            <w:tcW w:w="1804" w:type="dxa"/>
          </w:tcPr>
          <w:p w:rsidR="00A400FD" w:rsidRDefault="00F0743D" w:rsidP="00A400FD">
            <w:pPr>
              <w:spacing w:after="0"/>
              <w:jc w:val="right"/>
              <w:rPr>
                <w:rFonts w:cs="Arial"/>
              </w:rPr>
            </w:pPr>
            <w:r>
              <w:rPr>
                <w:rFonts w:cs="Arial"/>
              </w:rPr>
              <w:t>1.99%</w:t>
            </w:r>
          </w:p>
        </w:tc>
      </w:tr>
    </w:tbl>
    <w:p w:rsidR="00A400FD" w:rsidRPr="00084CD2" w:rsidRDefault="007B1E59" w:rsidP="00A400FD">
      <w:pPr>
        <w:spacing w:after="0"/>
        <w:rPr>
          <w:rFonts w:cs="Arial"/>
          <w:highlight w:val="yellow"/>
        </w:rPr>
      </w:pPr>
    </w:p>
    <w:p w:rsidR="00A400FD" w:rsidRDefault="00F0743D" w:rsidP="00A400FD">
      <w:pPr>
        <w:spacing w:after="0"/>
        <w:rPr>
          <w:rFonts w:cs="Arial"/>
          <w:u w:val="single"/>
        </w:rPr>
      </w:pPr>
      <w:r w:rsidRPr="00575418">
        <w:rPr>
          <w:rFonts w:cs="Arial"/>
        </w:rPr>
        <w:t>From 202</w:t>
      </w:r>
      <w:r>
        <w:rPr>
          <w:rFonts w:cs="Arial"/>
        </w:rPr>
        <w:t>0/21 onwards, it is assumed</w:t>
      </w:r>
      <w:r w:rsidRPr="00575418">
        <w:rPr>
          <w:rFonts w:cs="Arial"/>
        </w:rPr>
        <w:t xml:space="preserve"> the maximum increase </w:t>
      </w:r>
      <w:r>
        <w:rPr>
          <w:rFonts w:cs="Arial"/>
        </w:rPr>
        <w:t>that the county council is able to apply to council tax is 1</w:t>
      </w:r>
      <w:r w:rsidRPr="00575418">
        <w:rPr>
          <w:rFonts w:cs="Arial"/>
        </w:rPr>
        <w:t>.</w:t>
      </w:r>
      <w:r>
        <w:rPr>
          <w:rFonts w:cs="Arial"/>
        </w:rPr>
        <w:t>99%, as the option to raise an a</w:t>
      </w:r>
      <w:r w:rsidRPr="00575418">
        <w:rPr>
          <w:rFonts w:cs="Arial"/>
        </w:rPr>
        <w:t xml:space="preserve">dult </w:t>
      </w:r>
      <w:r>
        <w:rPr>
          <w:rFonts w:cs="Arial"/>
        </w:rPr>
        <w:t>s</w:t>
      </w:r>
      <w:r w:rsidRPr="00575418">
        <w:rPr>
          <w:rFonts w:cs="Arial"/>
        </w:rPr>
        <w:t xml:space="preserve">ocial </w:t>
      </w:r>
      <w:r>
        <w:rPr>
          <w:rFonts w:cs="Arial"/>
        </w:rPr>
        <w:t>c</w:t>
      </w:r>
      <w:r w:rsidRPr="00575418">
        <w:rPr>
          <w:rFonts w:cs="Arial"/>
        </w:rPr>
        <w:t>are precept will no longer be available</w:t>
      </w:r>
      <w:r>
        <w:rPr>
          <w:rFonts w:cs="Arial"/>
        </w:rPr>
        <w:t>,</w:t>
      </w:r>
      <w:r w:rsidRPr="00575418">
        <w:rPr>
          <w:rFonts w:cs="Arial"/>
        </w:rPr>
        <w:t xml:space="preserve"> and the additional 1% flexibility without the requirement for a r</w:t>
      </w:r>
      <w:r>
        <w:rPr>
          <w:rFonts w:cs="Arial"/>
        </w:rPr>
        <w:t xml:space="preserve">eferendum is also not </w:t>
      </w:r>
      <w:r w:rsidRPr="00575418">
        <w:rPr>
          <w:rFonts w:cs="Arial"/>
        </w:rPr>
        <w:t>permitted</w:t>
      </w:r>
      <w:r>
        <w:rPr>
          <w:rFonts w:cs="Arial"/>
        </w:rPr>
        <w:t xml:space="preserve"> post 2019/20. Council tax increases are subject to a f</w:t>
      </w:r>
      <w:r w:rsidRPr="00575418">
        <w:rPr>
          <w:rFonts w:cs="Arial"/>
        </w:rPr>
        <w:t xml:space="preserve">ull </w:t>
      </w:r>
      <w:r>
        <w:rPr>
          <w:rFonts w:cs="Arial"/>
        </w:rPr>
        <w:t>c</w:t>
      </w:r>
      <w:r w:rsidRPr="00575418">
        <w:rPr>
          <w:rFonts w:cs="Arial"/>
        </w:rPr>
        <w:t xml:space="preserve">ouncil decision each year when setting the budget, </w:t>
      </w:r>
      <w:r>
        <w:rPr>
          <w:rFonts w:cs="Arial"/>
        </w:rPr>
        <w:t>and</w:t>
      </w:r>
      <w:r w:rsidRPr="00575418">
        <w:rPr>
          <w:rFonts w:cs="Arial"/>
        </w:rPr>
        <w:t xml:space="preserve"> any decisions taken not to increase council tax as per the assumptions above would increase the financial gap.</w:t>
      </w:r>
      <w:r w:rsidRPr="00575418">
        <w:rPr>
          <w:rFonts w:cs="Arial"/>
          <w:u w:val="single"/>
        </w:rPr>
        <w:t xml:space="preserve"> </w:t>
      </w:r>
    </w:p>
    <w:p w:rsidR="00A400FD" w:rsidRDefault="007B1E59" w:rsidP="00A400FD">
      <w:pPr>
        <w:spacing w:after="0"/>
        <w:rPr>
          <w:rFonts w:cs="Arial"/>
          <w:u w:val="single"/>
        </w:rPr>
      </w:pPr>
    </w:p>
    <w:p w:rsidR="00A400FD" w:rsidRPr="00415B0E" w:rsidRDefault="00F0743D" w:rsidP="00A400FD">
      <w:pPr>
        <w:spacing w:after="0"/>
        <w:rPr>
          <w:rFonts w:cs="Arial"/>
          <w:highlight w:val="yellow"/>
        </w:rPr>
      </w:pPr>
      <w:r>
        <w:rPr>
          <w:rFonts w:cs="Arial"/>
        </w:rPr>
        <w:t xml:space="preserve">If the additional flexibilities such as 3% social care precept and additional 1% flexibility without the requirement of a referendum were applied in 2020/21 this would result in </w:t>
      </w:r>
      <w:r w:rsidRPr="002D78CA">
        <w:rPr>
          <w:rFonts w:cs="Arial"/>
        </w:rPr>
        <w:t xml:space="preserve">additional income of </w:t>
      </w:r>
      <w:r>
        <w:rPr>
          <w:rFonts w:cs="Arial"/>
        </w:rPr>
        <w:t>c</w:t>
      </w:r>
      <w:r w:rsidRPr="002D78CA">
        <w:rPr>
          <w:rFonts w:cs="Arial"/>
        </w:rPr>
        <w:t>£</w:t>
      </w:r>
      <w:r>
        <w:rPr>
          <w:rFonts w:cs="Arial"/>
        </w:rPr>
        <w:t>2</w:t>
      </w:r>
      <w:r w:rsidRPr="002D78CA">
        <w:rPr>
          <w:rFonts w:cs="Arial"/>
        </w:rPr>
        <w:t>0m and</w:t>
      </w:r>
      <w:r>
        <w:rPr>
          <w:rFonts w:cs="Arial"/>
        </w:rPr>
        <w:t xml:space="preserve"> would significantly reduce the financial gap. The adult social care precept was introduced pending the green paper on future funding of adult social care which has been delayed and there is no current indication of when funding solutions may be put in place. </w:t>
      </w:r>
    </w:p>
    <w:p w:rsidR="00A400FD" w:rsidRPr="00084CD2" w:rsidRDefault="007B1E59" w:rsidP="00A400FD">
      <w:pPr>
        <w:spacing w:after="0"/>
        <w:rPr>
          <w:rFonts w:cs="Arial"/>
          <w:highlight w:val="yellow"/>
        </w:rPr>
      </w:pPr>
    </w:p>
    <w:p w:rsidR="00A400FD" w:rsidRDefault="00F0743D" w:rsidP="00A400FD">
      <w:pPr>
        <w:spacing w:after="0"/>
        <w:rPr>
          <w:rFonts w:cs="Arial"/>
        </w:rPr>
      </w:pPr>
      <w:r w:rsidRPr="0027133C">
        <w:rPr>
          <w:rFonts w:cs="Arial"/>
        </w:rPr>
        <w:t>Analysis of Lancashire's tax base over recent years indicates an average council tax base increase of 1.7%</w:t>
      </w:r>
      <w:r>
        <w:rPr>
          <w:rFonts w:cs="Arial"/>
        </w:rPr>
        <w:t>,</w:t>
      </w:r>
      <w:r w:rsidRPr="0027133C">
        <w:rPr>
          <w:rFonts w:cs="Arial"/>
        </w:rPr>
        <w:t xml:space="preserve"> therefore</w:t>
      </w:r>
      <w:r>
        <w:rPr>
          <w:rFonts w:cs="Arial"/>
        </w:rPr>
        <w:t xml:space="preserve"> compared to the previously assumed increase of 1.5% this has now been built into the MTFS, generating an increased income of c£1m each year. </w:t>
      </w:r>
    </w:p>
    <w:p w:rsidR="00A400FD" w:rsidRDefault="007B1E59" w:rsidP="00A400FD">
      <w:pPr>
        <w:spacing w:after="0"/>
        <w:rPr>
          <w:rFonts w:cs="Arial"/>
        </w:rPr>
      </w:pPr>
    </w:p>
    <w:p w:rsidR="00A400FD" w:rsidRPr="0027133C" w:rsidRDefault="00F0743D" w:rsidP="00A400FD">
      <w:pPr>
        <w:spacing w:after="0"/>
        <w:rPr>
          <w:rFonts w:cs="Arial"/>
        </w:rPr>
      </w:pPr>
      <w:r>
        <w:rPr>
          <w:rFonts w:cs="Arial"/>
        </w:rPr>
        <w:t xml:space="preserve">Council tax collection rates vary across district councils but are currently relatively low for Lancashire compared to other councils nationally. The county council is therefore working with some district councils to look at what steps could be taken to try and improve collection levels, as an increase of just 1% overall would increase funding levels of the county council by c£5m each year. </w:t>
      </w:r>
    </w:p>
    <w:p w:rsidR="00A400FD" w:rsidRPr="005630EB" w:rsidRDefault="007B1E59" w:rsidP="00A400FD">
      <w:pPr>
        <w:spacing w:after="0"/>
        <w:rPr>
          <w:rFonts w:cs="Arial"/>
          <w:b/>
        </w:rPr>
      </w:pPr>
    </w:p>
    <w:p w:rsidR="00A400FD" w:rsidRDefault="00F0743D" w:rsidP="00A400FD">
      <w:pPr>
        <w:spacing w:after="0"/>
        <w:rPr>
          <w:rFonts w:cs="Arial"/>
          <w:b/>
          <w:i/>
        </w:rPr>
      </w:pPr>
      <w:r w:rsidRPr="00E64801">
        <w:rPr>
          <w:rFonts w:cs="Arial"/>
          <w:b/>
          <w:i/>
        </w:rPr>
        <w:t xml:space="preserve">2.12 Business Rates </w:t>
      </w:r>
    </w:p>
    <w:p w:rsidR="00A400FD" w:rsidRPr="00084CD2" w:rsidRDefault="007B1E59" w:rsidP="00A400FD">
      <w:pPr>
        <w:autoSpaceDE/>
        <w:autoSpaceDN/>
        <w:adjustRightInd/>
        <w:spacing w:after="0" w:line="259" w:lineRule="auto"/>
        <w:jc w:val="left"/>
        <w:rPr>
          <w:rFonts w:cs="Arial"/>
          <w:highlight w:val="yellow"/>
        </w:rPr>
      </w:pPr>
    </w:p>
    <w:p w:rsidR="00A400FD" w:rsidRPr="00C849E3" w:rsidRDefault="00F0743D" w:rsidP="00A400FD">
      <w:pPr>
        <w:spacing w:after="0"/>
        <w:rPr>
          <w:rFonts w:cs="Arial"/>
        </w:rPr>
      </w:pPr>
      <w:r w:rsidRPr="00B50858">
        <w:rPr>
          <w:rFonts w:cs="Arial"/>
        </w:rPr>
        <w:t>As shown in Table 2 business rates</w:t>
      </w:r>
      <w:r w:rsidRPr="00C849E3">
        <w:rPr>
          <w:rFonts w:cs="Arial"/>
        </w:rPr>
        <w:t xml:space="preserve"> income is a significant portion of funding to local authorities. The baseline is an assessment of the business rate income required to meet service needs. For the </w:t>
      </w:r>
      <w:r>
        <w:rPr>
          <w:rFonts w:cs="Arial"/>
        </w:rPr>
        <w:t>c</w:t>
      </w:r>
      <w:r w:rsidRPr="00C849E3">
        <w:rPr>
          <w:rFonts w:cs="Arial"/>
        </w:rPr>
        <w:t xml:space="preserve">ounty </w:t>
      </w:r>
      <w:r>
        <w:rPr>
          <w:rFonts w:cs="Arial"/>
        </w:rPr>
        <w:t>c</w:t>
      </w:r>
      <w:r w:rsidRPr="00C849E3">
        <w:rPr>
          <w:rFonts w:cs="Arial"/>
        </w:rPr>
        <w:t xml:space="preserve">ouncil, the amount anticipated to be received from the business rates collected in the area is less than its assessed need, therefore it receives a top up grant. </w:t>
      </w:r>
    </w:p>
    <w:p w:rsidR="00A400FD" w:rsidRPr="00084CD2" w:rsidRDefault="007B1E59" w:rsidP="00A400FD">
      <w:pPr>
        <w:spacing w:after="0"/>
        <w:rPr>
          <w:rFonts w:cs="Arial"/>
          <w:highlight w:val="yellow"/>
        </w:rPr>
      </w:pPr>
    </w:p>
    <w:p w:rsidR="00A400FD" w:rsidRPr="00C849E3" w:rsidRDefault="00F0743D" w:rsidP="00A400FD">
      <w:pPr>
        <w:spacing w:after="0"/>
        <w:rPr>
          <w:rFonts w:cs="Arial"/>
        </w:rPr>
      </w:pPr>
      <w:r>
        <w:rPr>
          <w:rFonts w:cs="Arial"/>
        </w:rPr>
        <w:t>Business r</w:t>
      </w:r>
      <w:r w:rsidRPr="00C849E3">
        <w:rPr>
          <w:rFonts w:cs="Arial"/>
        </w:rPr>
        <w:t xml:space="preserve">ates income for the </w:t>
      </w:r>
      <w:r>
        <w:rPr>
          <w:rFonts w:cs="Arial"/>
        </w:rPr>
        <w:t>c</w:t>
      </w:r>
      <w:r w:rsidRPr="00C849E3">
        <w:rPr>
          <w:rFonts w:cs="Arial"/>
        </w:rPr>
        <w:t xml:space="preserve">ounty </w:t>
      </w:r>
      <w:r>
        <w:rPr>
          <w:rFonts w:cs="Arial"/>
        </w:rPr>
        <w:t>c</w:t>
      </w:r>
      <w:r w:rsidRPr="00C849E3">
        <w:rPr>
          <w:rFonts w:cs="Arial"/>
        </w:rPr>
        <w:t xml:space="preserve">ouncil is heavily dependent upon cooperation from the </w:t>
      </w:r>
      <w:r>
        <w:rPr>
          <w:rFonts w:cs="Arial"/>
        </w:rPr>
        <w:t>d</w:t>
      </w:r>
      <w:r w:rsidRPr="00C849E3">
        <w:rPr>
          <w:rFonts w:cs="Arial"/>
        </w:rPr>
        <w:t xml:space="preserve">istrict </w:t>
      </w:r>
      <w:r>
        <w:rPr>
          <w:rFonts w:cs="Arial"/>
        </w:rPr>
        <w:t>c</w:t>
      </w:r>
      <w:r w:rsidRPr="00C849E3">
        <w:rPr>
          <w:rFonts w:cs="Arial"/>
        </w:rPr>
        <w:t xml:space="preserve">ouncils, and much will depend on the general economic performance of local areas. </w:t>
      </w:r>
      <w:r>
        <w:rPr>
          <w:rFonts w:cs="Arial"/>
        </w:rPr>
        <w:t xml:space="preserve">The collection rates across Lancashire present a mixed performance when compared nationally, therefore the county council is working with districts to improve this performance. </w:t>
      </w:r>
      <w:r w:rsidRPr="00C849E3">
        <w:rPr>
          <w:rFonts w:cs="Arial"/>
        </w:rPr>
        <w:t>In addition, there are valuation appeals outstanding, some of which are on large value properties.  If successful these will have a negative impact on the ability to generate business rates.  With this in mind a minimal amount of growth has been built into the local share</w:t>
      </w:r>
      <w:r>
        <w:rPr>
          <w:rFonts w:cs="Arial"/>
        </w:rPr>
        <w:t xml:space="preserve"> (0.5%)</w:t>
      </w:r>
      <w:r w:rsidRPr="00C849E3">
        <w:rPr>
          <w:rFonts w:cs="Arial"/>
        </w:rPr>
        <w:t>.</w:t>
      </w:r>
    </w:p>
    <w:p w:rsidR="00A400FD" w:rsidRPr="00216E35" w:rsidRDefault="007B1E59" w:rsidP="00A400FD">
      <w:pPr>
        <w:spacing w:after="0"/>
        <w:rPr>
          <w:rFonts w:cs="Arial"/>
        </w:rPr>
      </w:pPr>
    </w:p>
    <w:p w:rsidR="00A400FD" w:rsidRDefault="00F0743D" w:rsidP="00A400FD">
      <w:pPr>
        <w:spacing w:after="0"/>
        <w:rPr>
          <w:rFonts w:cs="Arial"/>
        </w:rPr>
      </w:pPr>
      <w:r w:rsidRPr="00216E35">
        <w:rPr>
          <w:rFonts w:cs="Arial"/>
        </w:rPr>
        <w:t xml:space="preserve">The </w:t>
      </w:r>
      <w:r>
        <w:rPr>
          <w:rFonts w:cs="Arial"/>
        </w:rPr>
        <w:t xml:space="preserve">county council is currently part of a business rates pool with 10 district councils across Lancashire. The Government has recently released a prospectus opening the application process for local authorities to apply to be a business rates pilot for 75% retention. There is currently work underway across Lancashire to assess the viability, risks and financial benefits of a pilot, which is currently offered as a one year opportunity before the new system is rolled out across all councils. </w:t>
      </w:r>
    </w:p>
    <w:p w:rsidR="00A400FD" w:rsidRPr="00216E35" w:rsidRDefault="007B1E59" w:rsidP="00A400FD">
      <w:pPr>
        <w:spacing w:after="0"/>
        <w:rPr>
          <w:rFonts w:cs="Arial"/>
        </w:rPr>
      </w:pPr>
    </w:p>
    <w:p w:rsidR="00A400FD" w:rsidRPr="00B50858" w:rsidRDefault="00F0743D" w:rsidP="00A400FD">
      <w:pPr>
        <w:tabs>
          <w:tab w:val="left" w:pos="567"/>
          <w:tab w:val="left" w:pos="1134"/>
        </w:tabs>
        <w:spacing w:after="0"/>
        <w:rPr>
          <w:rFonts w:cs="Arial"/>
          <w:b/>
          <w:i/>
        </w:rPr>
      </w:pPr>
      <w:r w:rsidRPr="00B50858">
        <w:rPr>
          <w:rFonts w:cs="Arial"/>
          <w:b/>
          <w:i/>
        </w:rPr>
        <w:t>2.13 Collection Fund Surplus</w:t>
      </w:r>
    </w:p>
    <w:p w:rsidR="00A400FD" w:rsidRDefault="007B1E59" w:rsidP="00A400FD">
      <w:pPr>
        <w:tabs>
          <w:tab w:val="left" w:pos="567"/>
          <w:tab w:val="left" w:pos="1134"/>
        </w:tabs>
        <w:spacing w:after="0"/>
        <w:rPr>
          <w:rFonts w:cs="Arial"/>
        </w:rPr>
      </w:pPr>
    </w:p>
    <w:p w:rsidR="00A400FD" w:rsidRPr="002D786E" w:rsidRDefault="00F0743D" w:rsidP="00A400FD">
      <w:pPr>
        <w:tabs>
          <w:tab w:val="left" w:pos="567"/>
          <w:tab w:val="left" w:pos="1134"/>
        </w:tabs>
        <w:spacing w:after="0"/>
        <w:rPr>
          <w:rFonts w:cs="Arial"/>
        </w:rPr>
      </w:pPr>
      <w:r>
        <w:rPr>
          <w:rFonts w:cs="Arial"/>
        </w:rPr>
        <w:t xml:space="preserve">The county council has reported collection fund surpluses since 2014/15, therefore based on the evidence of the previous 4 years an additional £3m of funding has been built into the anticipated funding levels. Previously collection fund surpluses have been treated as additional one-off amounts which have been added to reserves however given the evident recurrent nature of the surplus, this has now been added into the budget at what is felt to be a prudent and realistic value. </w:t>
      </w:r>
    </w:p>
    <w:p w:rsidR="00A400FD" w:rsidRPr="00084CD2" w:rsidRDefault="007B1E59" w:rsidP="00A400FD">
      <w:pPr>
        <w:spacing w:after="0"/>
        <w:rPr>
          <w:rFonts w:cs="Arial"/>
          <w:b/>
          <w:highlight w:val="yellow"/>
        </w:rPr>
      </w:pPr>
    </w:p>
    <w:p w:rsidR="00A400FD" w:rsidRPr="00B80120" w:rsidRDefault="00F0743D" w:rsidP="00A400FD">
      <w:pPr>
        <w:spacing w:after="0"/>
        <w:rPr>
          <w:rFonts w:cs="Arial"/>
          <w:b/>
        </w:rPr>
      </w:pPr>
      <w:r>
        <w:rPr>
          <w:rFonts w:cs="Arial"/>
          <w:b/>
        </w:rPr>
        <w:t>2.2</w:t>
      </w:r>
      <w:r w:rsidRPr="00B80120">
        <w:rPr>
          <w:rFonts w:cs="Arial"/>
          <w:b/>
        </w:rPr>
        <w:t xml:space="preserve"> Capital Receipts</w:t>
      </w:r>
    </w:p>
    <w:p w:rsidR="00A400FD" w:rsidRPr="00084CD2" w:rsidRDefault="007B1E59" w:rsidP="00A400FD">
      <w:pPr>
        <w:spacing w:after="0"/>
        <w:rPr>
          <w:rFonts w:cs="Arial"/>
          <w:b/>
          <w:highlight w:val="yellow"/>
        </w:rPr>
      </w:pPr>
    </w:p>
    <w:p w:rsidR="00A400FD" w:rsidRPr="00B80120" w:rsidRDefault="00F0743D" w:rsidP="00A400FD">
      <w:pPr>
        <w:tabs>
          <w:tab w:val="left" w:pos="567"/>
          <w:tab w:val="left" w:pos="1134"/>
        </w:tabs>
        <w:spacing w:after="0"/>
        <w:rPr>
          <w:rFonts w:cs="Arial"/>
        </w:rPr>
      </w:pPr>
      <w:r w:rsidRPr="00B80120">
        <w:t xml:space="preserve">From 1st April 2016 the </w:t>
      </w:r>
      <w:r>
        <w:t>g</w:t>
      </w:r>
      <w:r w:rsidRPr="00B80120">
        <w:t>overnment introduced the flexibility for capital receipts to be used to fund revenue expenditure which meets certain criteria</w:t>
      </w:r>
      <w:r>
        <w:t xml:space="preserve"> i.e. it</w:t>
      </w:r>
      <w:r w:rsidRPr="00B80120">
        <w:t xml:space="preserve"> needs to relate to activity which is designed to generate ongoing revenue savings or to transform a service which results in revenue savings or improvements in the quality of provision.</w:t>
      </w:r>
      <w:r w:rsidRPr="00B80120">
        <w:rPr>
          <w:rFonts w:cs="Arial"/>
        </w:rPr>
        <w:t xml:space="preserve"> </w:t>
      </w:r>
    </w:p>
    <w:p w:rsidR="00A400FD" w:rsidRPr="00084CD2" w:rsidRDefault="007B1E59" w:rsidP="00A400FD">
      <w:pPr>
        <w:tabs>
          <w:tab w:val="left" w:pos="567"/>
          <w:tab w:val="left" w:pos="1134"/>
        </w:tabs>
        <w:spacing w:after="0"/>
        <w:rPr>
          <w:rFonts w:cs="Arial"/>
          <w:highlight w:val="yellow"/>
        </w:rPr>
      </w:pPr>
    </w:p>
    <w:p w:rsidR="00A400FD" w:rsidRPr="00B80120" w:rsidRDefault="00F0743D" w:rsidP="00A400FD">
      <w:pPr>
        <w:tabs>
          <w:tab w:val="left" w:pos="567"/>
          <w:tab w:val="left" w:pos="1134"/>
        </w:tabs>
        <w:spacing w:after="0"/>
        <w:rPr>
          <w:rFonts w:cs="Arial"/>
        </w:rPr>
      </w:pPr>
      <w:r w:rsidRPr="00B80120">
        <w:rPr>
          <w:rFonts w:cs="Arial"/>
        </w:rPr>
        <w:t xml:space="preserve">As part of the Provisional Settlement in December 2017 it was announced that flexibility to use capital receipts to help meet the revenue costs of transformation programmes will continue for a further three years.  </w:t>
      </w:r>
    </w:p>
    <w:p w:rsidR="00A400FD" w:rsidRPr="00084CD2" w:rsidRDefault="007B1E59" w:rsidP="00A400FD">
      <w:pPr>
        <w:tabs>
          <w:tab w:val="left" w:pos="567"/>
          <w:tab w:val="left" w:pos="1134"/>
        </w:tabs>
        <w:spacing w:after="0"/>
        <w:rPr>
          <w:rFonts w:cs="Arial"/>
          <w:highlight w:val="yellow"/>
        </w:rPr>
      </w:pPr>
    </w:p>
    <w:p w:rsidR="00A400FD" w:rsidRDefault="00F0743D" w:rsidP="00A400FD">
      <w:pPr>
        <w:tabs>
          <w:tab w:val="left" w:pos="567"/>
          <w:tab w:val="left" w:pos="1134"/>
        </w:tabs>
        <w:spacing w:after="0"/>
        <w:rPr>
          <w:rFonts w:cs="Arial"/>
        </w:rPr>
      </w:pPr>
      <w:r w:rsidRPr="00B80120">
        <w:rPr>
          <w:rFonts w:cs="Arial"/>
        </w:rPr>
        <w:t xml:space="preserve">The MTFS previously included £8.475m in 2019/20 and £9.672m in 2020/21.  These amounts were forecast to be received following the development of the Cuerden site however, as the future of this site is </w:t>
      </w:r>
      <w:r>
        <w:rPr>
          <w:rFonts w:cs="Arial"/>
        </w:rPr>
        <w:t>not yet clear, the</w:t>
      </w:r>
      <w:r w:rsidRPr="00B80120">
        <w:rPr>
          <w:rFonts w:cs="Arial"/>
        </w:rPr>
        <w:t xml:space="preserve"> forecast capital receipts have been </w:t>
      </w:r>
      <w:r>
        <w:rPr>
          <w:rFonts w:cs="Arial"/>
        </w:rPr>
        <w:t>taken out</w:t>
      </w:r>
      <w:r w:rsidRPr="00B80120">
        <w:rPr>
          <w:rFonts w:cs="Arial"/>
        </w:rPr>
        <w:t xml:space="preserve"> creating a</w:t>
      </w:r>
      <w:r>
        <w:rPr>
          <w:rFonts w:cs="Arial"/>
        </w:rPr>
        <w:t xml:space="preserve"> </w:t>
      </w:r>
      <w:r w:rsidRPr="00B80120">
        <w:rPr>
          <w:rFonts w:cs="Arial"/>
        </w:rPr>
        <w:t>n</w:t>
      </w:r>
      <w:r>
        <w:rPr>
          <w:rFonts w:cs="Arial"/>
        </w:rPr>
        <w:t xml:space="preserve">on-recurrent additional pressure on funding in those years. We fully expect a receipt to be forthcoming from the Cuerden site however the timing at this stage is unclear and once this is established the revised capital receipts will be built back in. </w:t>
      </w: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spacing w:after="0"/>
        <w:rPr>
          <w:rFonts w:cs="Arial"/>
        </w:rPr>
      </w:pPr>
    </w:p>
    <w:p w:rsidR="00A400FD" w:rsidRDefault="007B1E59" w:rsidP="00A400FD">
      <w:pPr>
        <w:spacing w:after="0"/>
        <w:rPr>
          <w:rFonts w:cs="Arial"/>
        </w:rPr>
      </w:pPr>
    </w:p>
    <w:p w:rsidR="00A400FD" w:rsidRPr="009E43A7" w:rsidRDefault="00F0743D" w:rsidP="00A400FD">
      <w:pPr>
        <w:spacing w:after="0"/>
        <w:rPr>
          <w:rFonts w:cs="Arial"/>
          <w:b/>
        </w:rPr>
      </w:pPr>
      <w:r w:rsidRPr="004E5AAA">
        <w:rPr>
          <w:rFonts w:cs="Arial"/>
          <w:b/>
        </w:rPr>
        <w:t xml:space="preserve">3. Net </w:t>
      </w:r>
      <w:r>
        <w:rPr>
          <w:rFonts w:cs="Arial"/>
          <w:b/>
        </w:rPr>
        <w:t xml:space="preserve">Budget Requirement </w:t>
      </w:r>
    </w:p>
    <w:p w:rsidR="00A400FD" w:rsidRPr="009E43A7" w:rsidRDefault="007B1E59" w:rsidP="00A400FD">
      <w:pPr>
        <w:spacing w:after="0"/>
        <w:rPr>
          <w:rFonts w:cs="Arial"/>
          <w:b/>
          <w:highlight w:val="yellow"/>
        </w:rPr>
      </w:pPr>
    </w:p>
    <w:p w:rsidR="00A400FD" w:rsidRPr="00303BD1" w:rsidRDefault="00F0743D" w:rsidP="00A400FD">
      <w:pPr>
        <w:tabs>
          <w:tab w:val="left" w:pos="567"/>
          <w:tab w:val="left" w:pos="1134"/>
        </w:tabs>
        <w:spacing w:after="0"/>
        <w:rPr>
          <w:rFonts w:cs="Arial"/>
        </w:rPr>
      </w:pPr>
      <w:r w:rsidRPr="00303BD1">
        <w:rPr>
          <w:rFonts w:cs="Arial"/>
        </w:rPr>
        <w:t xml:space="preserve">The MTFS covers spending pressures including pay increases, contractual inflation, increased demand for services and the impact of previously agreed </w:t>
      </w:r>
      <w:r>
        <w:rPr>
          <w:rFonts w:cs="Arial"/>
        </w:rPr>
        <w:t xml:space="preserve">and new </w:t>
      </w:r>
      <w:r w:rsidRPr="00303BD1">
        <w:rPr>
          <w:rFonts w:cs="Arial"/>
        </w:rPr>
        <w:t xml:space="preserve">savings measures. </w:t>
      </w:r>
    </w:p>
    <w:p w:rsidR="00A400FD" w:rsidRPr="00084CD2" w:rsidRDefault="007B1E59" w:rsidP="00A400FD">
      <w:pPr>
        <w:spacing w:after="0"/>
        <w:rPr>
          <w:rFonts w:cs="Arial"/>
          <w:highlight w:val="yellow"/>
        </w:rPr>
      </w:pPr>
    </w:p>
    <w:p w:rsidR="00A400FD" w:rsidRPr="009E43A7" w:rsidRDefault="00F0743D" w:rsidP="00A400FD">
      <w:pPr>
        <w:spacing w:after="0"/>
        <w:rPr>
          <w:rFonts w:cs="Arial"/>
          <w:b/>
        </w:rPr>
      </w:pPr>
      <w:r w:rsidRPr="009E43A7">
        <w:rPr>
          <w:rFonts w:cs="Arial"/>
          <w:b/>
        </w:rPr>
        <w:t>3.1 Pay and Pensions</w:t>
      </w:r>
    </w:p>
    <w:p w:rsidR="00A400FD" w:rsidRPr="00084CD2" w:rsidRDefault="007B1E59" w:rsidP="00A400FD">
      <w:pPr>
        <w:spacing w:after="0"/>
        <w:rPr>
          <w:rFonts w:cs="Arial"/>
          <w:b/>
          <w:highlight w:val="yellow"/>
        </w:rPr>
      </w:pPr>
    </w:p>
    <w:p w:rsidR="00A400FD" w:rsidRPr="005C226D" w:rsidRDefault="00F0743D" w:rsidP="00A400FD">
      <w:pPr>
        <w:spacing w:after="0"/>
        <w:rPr>
          <w:rFonts w:cs="Arial"/>
        </w:rPr>
      </w:pPr>
      <w:r w:rsidRPr="005C226D">
        <w:rPr>
          <w:rFonts w:cs="Arial"/>
        </w:rPr>
        <w:t>In December 2017 it was announced by the National Employers for Local Government Services that, following negotiations a new pay offer covering the period 1</w:t>
      </w:r>
      <w:r>
        <w:rPr>
          <w:rFonts w:cs="Arial"/>
        </w:rPr>
        <w:t xml:space="preserve"> April 2018 and 31 March 2020. </w:t>
      </w:r>
      <w:r w:rsidRPr="005C226D">
        <w:rPr>
          <w:rFonts w:cs="Arial"/>
        </w:rPr>
        <w:t>In 2019/20 t</w:t>
      </w:r>
      <w:r>
        <w:rPr>
          <w:rFonts w:cs="Arial"/>
        </w:rPr>
        <w:t>he new pay offer proposes that local g</w:t>
      </w:r>
      <w:r w:rsidRPr="005C226D">
        <w:rPr>
          <w:rFonts w:cs="Arial"/>
        </w:rPr>
        <w:t xml:space="preserve">overnment organisations move to a new pay spine </w:t>
      </w:r>
      <w:r>
        <w:rPr>
          <w:rFonts w:cs="Arial"/>
        </w:rPr>
        <w:t xml:space="preserve">and this is reflected within the pay budget requirement in the MTFS. A 2% increase has therefore been included in 2019/20 and an assumption of 1% included in later years until further information is known in relation to the pay spine and subsequent increases. </w:t>
      </w:r>
      <w:r w:rsidRPr="005C226D">
        <w:rPr>
          <w:rFonts w:cs="Arial"/>
        </w:rPr>
        <w:t xml:space="preserve"> </w:t>
      </w:r>
    </w:p>
    <w:p w:rsidR="00A400FD" w:rsidRPr="005C226D" w:rsidRDefault="007B1E59" w:rsidP="00A400FD">
      <w:pPr>
        <w:spacing w:after="0"/>
        <w:rPr>
          <w:rFonts w:cs="Arial"/>
        </w:rPr>
      </w:pPr>
    </w:p>
    <w:p w:rsidR="00A400FD" w:rsidRPr="005C226D" w:rsidRDefault="00F0743D" w:rsidP="00A400FD">
      <w:pPr>
        <w:spacing w:after="0"/>
        <w:rPr>
          <w:rFonts w:cs="Arial"/>
        </w:rPr>
      </w:pPr>
      <w:r>
        <w:rPr>
          <w:rFonts w:cs="Arial"/>
        </w:rPr>
        <w:t>In March 2017 c</w:t>
      </w:r>
      <w:r w:rsidRPr="005C226D">
        <w:rPr>
          <w:rFonts w:cs="Arial"/>
        </w:rPr>
        <w:t>abinet a</w:t>
      </w:r>
      <w:r>
        <w:rPr>
          <w:rFonts w:cs="Arial"/>
        </w:rPr>
        <w:t>greed to a re-profiling of the c</w:t>
      </w:r>
      <w:r w:rsidRPr="005C226D">
        <w:rPr>
          <w:rFonts w:cs="Arial"/>
        </w:rPr>
        <w:t xml:space="preserve">ouncil's pension contributions resulting in a saving over a 3 year period. This is reflected within the MTFS based on the latest information available in relation to the </w:t>
      </w:r>
      <w:r>
        <w:rPr>
          <w:rFonts w:cs="Arial"/>
        </w:rPr>
        <w:t>c</w:t>
      </w:r>
      <w:r w:rsidRPr="005C226D">
        <w:rPr>
          <w:rFonts w:cs="Arial"/>
        </w:rPr>
        <w:t xml:space="preserve">ounty </w:t>
      </w:r>
      <w:r>
        <w:rPr>
          <w:rFonts w:cs="Arial"/>
        </w:rPr>
        <w:t>c</w:t>
      </w:r>
      <w:r w:rsidRPr="005C226D">
        <w:rPr>
          <w:rFonts w:cs="Arial"/>
        </w:rPr>
        <w:t xml:space="preserve">ouncil's estimated contribution rate and deficit contributions. </w:t>
      </w:r>
    </w:p>
    <w:p w:rsidR="00A400FD" w:rsidRPr="005C226D" w:rsidRDefault="007B1E59" w:rsidP="00A400FD">
      <w:pPr>
        <w:spacing w:after="0"/>
        <w:rPr>
          <w:rFonts w:cs="Arial"/>
        </w:rPr>
      </w:pPr>
    </w:p>
    <w:p w:rsidR="00A400FD" w:rsidRPr="00133C74" w:rsidRDefault="00F0743D" w:rsidP="00A400FD">
      <w:pPr>
        <w:spacing w:after="0"/>
        <w:rPr>
          <w:rFonts w:cs="Arial"/>
        </w:rPr>
      </w:pPr>
      <w:r w:rsidRPr="005C226D">
        <w:rPr>
          <w:rFonts w:cs="Arial"/>
        </w:rPr>
        <w:t xml:space="preserve">The apprenticeship levy was introduced in April 2017 at a rate of 0.5% of an employer’s pay bill, therefore an estimate of £1.323m was been included in the MTFS for 2019/20 </w:t>
      </w:r>
      <w:r w:rsidRPr="00133C74">
        <w:rPr>
          <w:rFonts w:cs="Arial"/>
        </w:rPr>
        <w:t xml:space="preserve">with increases equivalent to the pay increase rates quoted above.  </w:t>
      </w:r>
    </w:p>
    <w:p w:rsidR="00A400FD" w:rsidRPr="00084CD2" w:rsidRDefault="007B1E59" w:rsidP="00A400FD">
      <w:pPr>
        <w:spacing w:after="0"/>
        <w:rPr>
          <w:rFonts w:cs="Arial"/>
          <w:highlight w:val="yellow"/>
        </w:rPr>
      </w:pPr>
    </w:p>
    <w:p w:rsidR="00A400FD" w:rsidRDefault="00F0743D" w:rsidP="00A400FD">
      <w:pPr>
        <w:spacing w:after="0"/>
        <w:rPr>
          <w:rFonts w:cs="Arial"/>
        </w:rPr>
      </w:pPr>
      <w:r w:rsidRPr="009D1723">
        <w:rPr>
          <w:rFonts w:cs="Arial"/>
        </w:rPr>
        <w:t>The table below presents the amounts built into the MTFS for pay and pensions:</w:t>
      </w:r>
    </w:p>
    <w:p w:rsidR="00A400FD" w:rsidRDefault="007B1E59" w:rsidP="00A400FD">
      <w:pPr>
        <w:spacing w:after="0"/>
        <w:rPr>
          <w:rFonts w:cs="Arial"/>
        </w:rPr>
      </w:pPr>
    </w:p>
    <w:p w:rsidR="00A400FD" w:rsidRPr="004C48B9" w:rsidRDefault="00F0743D" w:rsidP="00A400FD">
      <w:pPr>
        <w:spacing w:after="0"/>
        <w:rPr>
          <w:rFonts w:cs="Arial"/>
          <w:b/>
          <w:i/>
          <w:u w:val="single"/>
        </w:rPr>
      </w:pPr>
      <w:r>
        <w:rPr>
          <w:rFonts w:cs="Arial"/>
          <w:b/>
          <w:i/>
          <w:u w:val="single"/>
        </w:rPr>
        <w:t>Table 4</w:t>
      </w:r>
    </w:p>
    <w:p w:rsidR="00A400FD" w:rsidRPr="00084CD2" w:rsidRDefault="007B1E59" w:rsidP="00A400FD">
      <w:pPr>
        <w:spacing w:after="0"/>
        <w:rPr>
          <w:rFonts w:cs="Arial"/>
          <w:highlight w:val="yellow"/>
        </w:rPr>
      </w:pPr>
    </w:p>
    <w:tbl>
      <w:tblPr>
        <w:tblStyle w:val="TableGrid8"/>
        <w:tblW w:w="9039" w:type="dxa"/>
        <w:tblLook w:val="04A0" w:firstRow="1" w:lastRow="0" w:firstColumn="1" w:lastColumn="0" w:noHBand="0" w:noVBand="1"/>
      </w:tblPr>
      <w:tblGrid>
        <w:gridCol w:w="3188"/>
        <w:gridCol w:w="1084"/>
        <w:gridCol w:w="1084"/>
        <w:gridCol w:w="1084"/>
        <w:gridCol w:w="1248"/>
        <w:gridCol w:w="1351"/>
      </w:tblGrid>
      <w:tr w:rsidR="00C54E82" w:rsidTr="00A400FD">
        <w:trPr>
          <w:trHeight w:val="689"/>
        </w:trPr>
        <w:tc>
          <w:tcPr>
            <w:tcW w:w="0" w:type="auto"/>
          </w:tcPr>
          <w:p w:rsidR="00A400FD" w:rsidRPr="00084CD2" w:rsidRDefault="007B1E59" w:rsidP="00A400FD">
            <w:pPr>
              <w:tabs>
                <w:tab w:val="left" w:pos="567"/>
                <w:tab w:val="left" w:pos="1134"/>
              </w:tabs>
              <w:spacing w:after="0"/>
              <w:rPr>
                <w:rFonts w:cs="Arial"/>
                <w:highlight w:val="yellow"/>
              </w:rPr>
            </w:pPr>
          </w:p>
        </w:tc>
        <w:tc>
          <w:tcPr>
            <w:tcW w:w="0" w:type="auto"/>
            <w:vAlign w:val="center"/>
          </w:tcPr>
          <w:p w:rsidR="00A400FD" w:rsidRPr="009E43A7" w:rsidRDefault="00F0743D" w:rsidP="00A400FD">
            <w:pPr>
              <w:tabs>
                <w:tab w:val="left" w:pos="567"/>
                <w:tab w:val="left" w:pos="1134"/>
              </w:tabs>
              <w:spacing w:after="0"/>
              <w:jc w:val="center"/>
              <w:rPr>
                <w:rFonts w:cs="Arial"/>
                <w:b/>
              </w:rPr>
            </w:pPr>
            <w:r w:rsidRPr="009E43A7">
              <w:rPr>
                <w:rFonts w:cs="Arial"/>
                <w:b/>
              </w:rPr>
              <w:t>2019/20</w:t>
            </w:r>
          </w:p>
          <w:p w:rsidR="00A400FD" w:rsidRPr="009E43A7" w:rsidRDefault="00F0743D" w:rsidP="00A400FD">
            <w:pPr>
              <w:tabs>
                <w:tab w:val="left" w:pos="567"/>
                <w:tab w:val="left" w:pos="1134"/>
              </w:tabs>
              <w:spacing w:after="0"/>
              <w:jc w:val="center"/>
              <w:rPr>
                <w:rFonts w:cs="Arial"/>
                <w:b/>
              </w:rPr>
            </w:pPr>
            <w:r w:rsidRPr="009E43A7">
              <w:rPr>
                <w:rFonts w:cs="Arial"/>
                <w:b/>
              </w:rPr>
              <w:t>£m</w:t>
            </w:r>
          </w:p>
        </w:tc>
        <w:tc>
          <w:tcPr>
            <w:tcW w:w="0" w:type="auto"/>
            <w:vAlign w:val="center"/>
          </w:tcPr>
          <w:p w:rsidR="00A400FD" w:rsidRPr="009E43A7" w:rsidRDefault="00F0743D" w:rsidP="00A400FD">
            <w:pPr>
              <w:tabs>
                <w:tab w:val="left" w:pos="567"/>
                <w:tab w:val="left" w:pos="1134"/>
              </w:tabs>
              <w:spacing w:after="0"/>
              <w:jc w:val="center"/>
              <w:rPr>
                <w:rFonts w:cs="Arial"/>
                <w:b/>
              </w:rPr>
            </w:pPr>
            <w:r w:rsidRPr="009E43A7">
              <w:rPr>
                <w:rFonts w:cs="Arial"/>
                <w:b/>
              </w:rPr>
              <w:t>2020/21</w:t>
            </w:r>
          </w:p>
          <w:p w:rsidR="00A400FD" w:rsidRPr="009E43A7" w:rsidRDefault="00F0743D" w:rsidP="00A400FD">
            <w:pPr>
              <w:tabs>
                <w:tab w:val="left" w:pos="567"/>
                <w:tab w:val="left" w:pos="1134"/>
              </w:tabs>
              <w:spacing w:after="0"/>
              <w:jc w:val="center"/>
              <w:rPr>
                <w:rFonts w:cs="Arial"/>
                <w:b/>
              </w:rPr>
            </w:pPr>
            <w:r w:rsidRPr="009E43A7">
              <w:rPr>
                <w:rFonts w:cs="Arial"/>
                <w:b/>
              </w:rPr>
              <w:t>£m</w:t>
            </w:r>
          </w:p>
        </w:tc>
        <w:tc>
          <w:tcPr>
            <w:tcW w:w="0" w:type="auto"/>
            <w:vAlign w:val="center"/>
          </w:tcPr>
          <w:p w:rsidR="00A400FD" w:rsidRPr="009E43A7" w:rsidRDefault="00F0743D" w:rsidP="00A400FD">
            <w:pPr>
              <w:tabs>
                <w:tab w:val="left" w:pos="567"/>
                <w:tab w:val="left" w:pos="1134"/>
              </w:tabs>
              <w:spacing w:after="0"/>
              <w:jc w:val="center"/>
              <w:rPr>
                <w:rFonts w:cs="Arial"/>
                <w:b/>
              </w:rPr>
            </w:pPr>
            <w:r w:rsidRPr="009E43A7">
              <w:rPr>
                <w:rFonts w:cs="Arial"/>
                <w:b/>
              </w:rPr>
              <w:t>2021/22</w:t>
            </w:r>
          </w:p>
          <w:p w:rsidR="00A400FD" w:rsidRPr="009E43A7" w:rsidRDefault="00F0743D" w:rsidP="00A400FD">
            <w:pPr>
              <w:tabs>
                <w:tab w:val="left" w:pos="567"/>
                <w:tab w:val="left" w:pos="1134"/>
              </w:tabs>
              <w:spacing w:after="0"/>
              <w:jc w:val="center"/>
              <w:rPr>
                <w:rFonts w:cs="Arial"/>
                <w:b/>
              </w:rPr>
            </w:pPr>
            <w:r w:rsidRPr="009E43A7">
              <w:rPr>
                <w:rFonts w:cs="Arial"/>
                <w:b/>
              </w:rPr>
              <w:t>£m</w:t>
            </w:r>
          </w:p>
        </w:tc>
        <w:tc>
          <w:tcPr>
            <w:tcW w:w="1248" w:type="dxa"/>
            <w:vAlign w:val="center"/>
          </w:tcPr>
          <w:p w:rsidR="00A400FD" w:rsidRPr="009E43A7" w:rsidRDefault="00F0743D" w:rsidP="00A400FD">
            <w:pPr>
              <w:tabs>
                <w:tab w:val="left" w:pos="567"/>
                <w:tab w:val="left" w:pos="1134"/>
              </w:tabs>
              <w:spacing w:after="0"/>
              <w:jc w:val="center"/>
              <w:rPr>
                <w:rFonts w:cs="Arial"/>
                <w:b/>
              </w:rPr>
            </w:pPr>
            <w:r w:rsidRPr="009E43A7">
              <w:rPr>
                <w:rFonts w:cs="Arial"/>
                <w:b/>
              </w:rPr>
              <w:t>2022/23</w:t>
            </w:r>
          </w:p>
          <w:p w:rsidR="00A400FD" w:rsidRPr="009E43A7" w:rsidRDefault="00F0743D" w:rsidP="00A400FD">
            <w:pPr>
              <w:tabs>
                <w:tab w:val="left" w:pos="567"/>
                <w:tab w:val="left" w:pos="1134"/>
              </w:tabs>
              <w:spacing w:after="0"/>
              <w:jc w:val="center"/>
              <w:rPr>
                <w:rFonts w:cs="Arial"/>
                <w:b/>
              </w:rPr>
            </w:pPr>
            <w:r w:rsidRPr="009E43A7">
              <w:rPr>
                <w:rFonts w:cs="Arial"/>
                <w:b/>
              </w:rPr>
              <w:t>£m</w:t>
            </w:r>
          </w:p>
        </w:tc>
        <w:tc>
          <w:tcPr>
            <w:tcW w:w="1351" w:type="dxa"/>
            <w:vAlign w:val="center"/>
          </w:tcPr>
          <w:p w:rsidR="00A400FD" w:rsidRPr="009E43A7" w:rsidRDefault="00F0743D" w:rsidP="00A400FD">
            <w:pPr>
              <w:tabs>
                <w:tab w:val="left" w:pos="567"/>
                <w:tab w:val="left" w:pos="1134"/>
              </w:tabs>
              <w:spacing w:after="0"/>
              <w:jc w:val="center"/>
              <w:rPr>
                <w:rFonts w:cs="Arial"/>
                <w:b/>
              </w:rPr>
            </w:pPr>
            <w:r w:rsidRPr="009E43A7">
              <w:rPr>
                <w:rFonts w:cs="Arial"/>
                <w:b/>
              </w:rPr>
              <w:t>Total</w:t>
            </w:r>
          </w:p>
          <w:p w:rsidR="00A400FD" w:rsidRPr="009E43A7" w:rsidRDefault="00F0743D" w:rsidP="00A400FD">
            <w:pPr>
              <w:tabs>
                <w:tab w:val="left" w:pos="567"/>
                <w:tab w:val="left" w:pos="1134"/>
              </w:tabs>
              <w:spacing w:after="0"/>
              <w:jc w:val="center"/>
              <w:rPr>
                <w:rFonts w:cs="Arial"/>
                <w:b/>
              </w:rPr>
            </w:pPr>
            <w:r w:rsidRPr="009E43A7">
              <w:rPr>
                <w:rFonts w:cs="Arial"/>
                <w:b/>
              </w:rPr>
              <w:t>£m</w:t>
            </w:r>
          </w:p>
        </w:tc>
      </w:tr>
      <w:tr w:rsidR="00C54E82" w:rsidTr="00A400FD">
        <w:trPr>
          <w:trHeight w:val="404"/>
        </w:trPr>
        <w:tc>
          <w:tcPr>
            <w:tcW w:w="0" w:type="auto"/>
            <w:vAlign w:val="center"/>
          </w:tcPr>
          <w:p w:rsidR="00A400FD" w:rsidRPr="009E43A7" w:rsidRDefault="00F0743D" w:rsidP="00A400FD">
            <w:pPr>
              <w:tabs>
                <w:tab w:val="left" w:pos="567"/>
                <w:tab w:val="left" w:pos="1134"/>
              </w:tabs>
              <w:spacing w:after="0"/>
              <w:jc w:val="left"/>
              <w:rPr>
                <w:rFonts w:cs="Arial"/>
              </w:rPr>
            </w:pPr>
            <w:r w:rsidRPr="009E43A7">
              <w:rPr>
                <w:rFonts w:cs="Arial"/>
              </w:rPr>
              <w:t>Employee Costs</w:t>
            </w:r>
          </w:p>
        </w:tc>
        <w:tc>
          <w:tcPr>
            <w:tcW w:w="0" w:type="auto"/>
            <w:vAlign w:val="center"/>
          </w:tcPr>
          <w:p w:rsidR="00A400FD" w:rsidRPr="0034227D" w:rsidRDefault="00F0743D" w:rsidP="00A400FD">
            <w:pPr>
              <w:tabs>
                <w:tab w:val="left" w:pos="567"/>
                <w:tab w:val="left" w:pos="1134"/>
              </w:tabs>
              <w:spacing w:after="0"/>
              <w:jc w:val="right"/>
              <w:rPr>
                <w:rFonts w:cs="Arial"/>
              </w:rPr>
            </w:pPr>
            <w:r>
              <w:rPr>
                <w:rFonts w:cs="Arial"/>
              </w:rPr>
              <w:t>10.272</w:t>
            </w:r>
          </w:p>
        </w:tc>
        <w:tc>
          <w:tcPr>
            <w:tcW w:w="0" w:type="auto"/>
            <w:vAlign w:val="center"/>
          </w:tcPr>
          <w:p w:rsidR="00A400FD" w:rsidRPr="0034227D" w:rsidRDefault="00F0743D" w:rsidP="00A400FD">
            <w:pPr>
              <w:tabs>
                <w:tab w:val="left" w:pos="567"/>
                <w:tab w:val="left" w:pos="1134"/>
              </w:tabs>
              <w:spacing w:after="0"/>
              <w:jc w:val="right"/>
              <w:rPr>
                <w:rFonts w:cs="Arial"/>
              </w:rPr>
            </w:pPr>
            <w:r w:rsidRPr="0034227D">
              <w:rPr>
                <w:rFonts w:cs="Arial"/>
              </w:rPr>
              <w:t>4.1</w:t>
            </w:r>
            <w:r>
              <w:rPr>
                <w:rFonts w:cs="Arial"/>
              </w:rPr>
              <w:t>86</w:t>
            </w:r>
          </w:p>
        </w:tc>
        <w:tc>
          <w:tcPr>
            <w:tcW w:w="0" w:type="auto"/>
            <w:vAlign w:val="center"/>
          </w:tcPr>
          <w:p w:rsidR="00A400FD" w:rsidRPr="00084CD2" w:rsidRDefault="00F0743D" w:rsidP="00A400FD">
            <w:pPr>
              <w:tabs>
                <w:tab w:val="left" w:pos="567"/>
                <w:tab w:val="left" w:pos="1134"/>
              </w:tabs>
              <w:spacing w:after="0"/>
              <w:jc w:val="right"/>
              <w:rPr>
                <w:rFonts w:cs="Arial"/>
                <w:highlight w:val="yellow"/>
              </w:rPr>
            </w:pPr>
            <w:r w:rsidRPr="001D1D96">
              <w:rPr>
                <w:rFonts w:cs="Arial"/>
              </w:rPr>
              <w:t>3.8</w:t>
            </w:r>
            <w:r>
              <w:rPr>
                <w:rFonts w:cs="Arial"/>
              </w:rPr>
              <w:t>90</w:t>
            </w:r>
          </w:p>
        </w:tc>
        <w:tc>
          <w:tcPr>
            <w:tcW w:w="1248" w:type="dxa"/>
            <w:vAlign w:val="center"/>
          </w:tcPr>
          <w:p w:rsidR="00A400FD" w:rsidRPr="001D1D96" w:rsidRDefault="00F0743D" w:rsidP="00A400FD">
            <w:pPr>
              <w:tabs>
                <w:tab w:val="left" w:pos="567"/>
                <w:tab w:val="left" w:pos="1134"/>
              </w:tabs>
              <w:spacing w:after="0"/>
              <w:jc w:val="right"/>
              <w:rPr>
                <w:rFonts w:cs="Arial"/>
              </w:rPr>
            </w:pPr>
            <w:r w:rsidRPr="001D1D96">
              <w:rPr>
                <w:rFonts w:cs="Arial"/>
              </w:rPr>
              <w:t>3.56</w:t>
            </w:r>
            <w:r>
              <w:rPr>
                <w:rFonts w:cs="Arial"/>
              </w:rPr>
              <w:t>7</w:t>
            </w:r>
          </w:p>
        </w:tc>
        <w:tc>
          <w:tcPr>
            <w:tcW w:w="1351" w:type="dxa"/>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rPr>
              <w:t>2</w:t>
            </w:r>
            <w:r>
              <w:rPr>
                <w:rFonts w:cs="Arial"/>
              </w:rPr>
              <w:t>1.915</w:t>
            </w:r>
          </w:p>
        </w:tc>
      </w:tr>
      <w:tr w:rsidR="00C54E82" w:rsidTr="00A400FD">
        <w:trPr>
          <w:trHeight w:val="404"/>
        </w:trPr>
        <w:tc>
          <w:tcPr>
            <w:tcW w:w="0" w:type="auto"/>
            <w:vAlign w:val="center"/>
          </w:tcPr>
          <w:p w:rsidR="00A400FD" w:rsidRPr="009E43A7" w:rsidRDefault="00F0743D" w:rsidP="00A400FD">
            <w:pPr>
              <w:tabs>
                <w:tab w:val="left" w:pos="567"/>
                <w:tab w:val="left" w:pos="1134"/>
              </w:tabs>
              <w:spacing w:after="0"/>
              <w:jc w:val="left"/>
              <w:rPr>
                <w:rFonts w:cs="Arial"/>
              </w:rPr>
            </w:pPr>
            <w:r w:rsidRPr="009E43A7">
              <w:rPr>
                <w:rFonts w:cs="Arial"/>
              </w:rPr>
              <w:t>Pensions Costs</w:t>
            </w:r>
          </w:p>
        </w:tc>
        <w:tc>
          <w:tcPr>
            <w:tcW w:w="0" w:type="auto"/>
            <w:vAlign w:val="center"/>
          </w:tcPr>
          <w:p w:rsidR="00A400FD" w:rsidRPr="0034227D" w:rsidRDefault="00F0743D" w:rsidP="00A400FD">
            <w:pPr>
              <w:tabs>
                <w:tab w:val="left" w:pos="567"/>
                <w:tab w:val="left" w:pos="1134"/>
              </w:tabs>
              <w:spacing w:after="0"/>
              <w:jc w:val="right"/>
              <w:rPr>
                <w:rFonts w:cs="Arial"/>
              </w:rPr>
            </w:pPr>
            <w:r w:rsidRPr="0034227D">
              <w:rPr>
                <w:rFonts w:cs="Arial"/>
              </w:rPr>
              <w:t>0.374</w:t>
            </w:r>
          </w:p>
        </w:tc>
        <w:tc>
          <w:tcPr>
            <w:tcW w:w="0" w:type="auto"/>
            <w:vAlign w:val="center"/>
          </w:tcPr>
          <w:p w:rsidR="00A400FD" w:rsidRPr="0034227D" w:rsidRDefault="00F0743D" w:rsidP="00A400FD">
            <w:pPr>
              <w:tabs>
                <w:tab w:val="left" w:pos="567"/>
                <w:tab w:val="left" w:pos="1134"/>
              </w:tabs>
              <w:spacing w:after="0"/>
              <w:jc w:val="right"/>
              <w:rPr>
                <w:rFonts w:cs="Arial"/>
              </w:rPr>
            </w:pPr>
            <w:r w:rsidRPr="0034227D">
              <w:rPr>
                <w:rFonts w:cs="Arial"/>
              </w:rPr>
              <w:t>0.374</w:t>
            </w:r>
          </w:p>
        </w:tc>
        <w:tc>
          <w:tcPr>
            <w:tcW w:w="0" w:type="auto"/>
            <w:vAlign w:val="center"/>
          </w:tcPr>
          <w:p w:rsidR="00A400FD" w:rsidRPr="00084CD2" w:rsidRDefault="00F0743D" w:rsidP="00A400FD">
            <w:pPr>
              <w:tabs>
                <w:tab w:val="left" w:pos="567"/>
                <w:tab w:val="left" w:pos="1134"/>
              </w:tabs>
              <w:spacing w:after="0"/>
              <w:jc w:val="right"/>
              <w:rPr>
                <w:rFonts w:cs="Arial"/>
                <w:highlight w:val="yellow"/>
              </w:rPr>
            </w:pPr>
            <w:r w:rsidRPr="001D1D96">
              <w:rPr>
                <w:rFonts w:cs="Arial"/>
              </w:rPr>
              <w:t>0.374</w:t>
            </w:r>
          </w:p>
        </w:tc>
        <w:tc>
          <w:tcPr>
            <w:tcW w:w="1248" w:type="dxa"/>
            <w:vAlign w:val="center"/>
          </w:tcPr>
          <w:p w:rsidR="00A400FD" w:rsidRPr="001D1D96" w:rsidRDefault="00F0743D" w:rsidP="00A400FD">
            <w:pPr>
              <w:tabs>
                <w:tab w:val="left" w:pos="567"/>
                <w:tab w:val="left" w:pos="1134"/>
              </w:tabs>
              <w:spacing w:after="0"/>
              <w:jc w:val="right"/>
              <w:rPr>
                <w:rFonts w:cs="Arial"/>
              </w:rPr>
            </w:pPr>
            <w:r w:rsidRPr="001D1D96">
              <w:rPr>
                <w:rFonts w:cs="Arial"/>
              </w:rPr>
              <w:t>0.374</w:t>
            </w:r>
          </w:p>
        </w:tc>
        <w:tc>
          <w:tcPr>
            <w:tcW w:w="1351" w:type="dxa"/>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rPr>
              <w:t>1.496</w:t>
            </w:r>
          </w:p>
        </w:tc>
      </w:tr>
      <w:tr w:rsidR="00C54E82" w:rsidTr="00A400FD">
        <w:trPr>
          <w:trHeight w:val="404"/>
        </w:trPr>
        <w:tc>
          <w:tcPr>
            <w:tcW w:w="0" w:type="auto"/>
            <w:vAlign w:val="center"/>
          </w:tcPr>
          <w:p w:rsidR="00A400FD" w:rsidRPr="009E43A7" w:rsidRDefault="00F0743D" w:rsidP="00A400FD">
            <w:pPr>
              <w:tabs>
                <w:tab w:val="left" w:pos="567"/>
                <w:tab w:val="left" w:pos="1134"/>
              </w:tabs>
              <w:spacing w:after="0"/>
              <w:jc w:val="left"/>
              <w:rPr>
                <w:rFonts w:cs="Arial"/>
              </w:rPr>
            </w:pPr>
            <w:r w:rsidRPr="009E43A7">
              <w:rPr>
                <w:rFonts w:cs="Arial"/>
              </w:rPr>
              <w:t>Pension Prepayment Saving</w:t>
            </w:r>
          </w:p>
        </w:tc>
        <w:tc>
          <w:tcPr>
            <w:tcW w:w="0" w:type="auto"/>
            <w:vAlign w:val="center"/>
          </w:tcPr>
          <w:p w:rsidR="00A400FD" w:rsidRPr="0034227D" w:rsidRDefault="00F0743D" w:rsidP="00A400FD">
            <w:pPr>
              <w:tabs>
                <w:tab w:val="left" w:pos="567"/>
                <w:tab w:val="left" w:pos="1134"/>
              </w:tabs>
              <w:spacing w:after="0"/>
              <w:jc w:val="right"/>
              <w:rPr>
                <w:rFonts w:cs="Arial"/>
              </w:rPr>
            </w:pPr>
            <w:r w:rsidRPr="0034227D">
              <w:rPr>
                <w:rFonts w:cs="Arial"/>
              </w:rPr>
              <w:t>-0.319</w:t>
            </w:r>
          </w:p>
        </w:tc>
        <w:tc>
          <w:tcPr>
            <w:tcW w:w="0" w:type="auto"/>
            <w:vAlign w:val="center"/>
          </w:tcPr>
          <w:p w:rsidR="00A400FD" w:rsidRPr="0034227D" w:rsidRDefault="00F0743D" w:rsidP="00A400FD">
            <w:pPr>
              <w:tabs>
                <w:tab w:val="left" w:pos="567"/>
                <w:tab w:val="left" w:pos="1134"/>
              </w:tabs>
              <w:spacing w:after="0"/>
              <w:jc w:val="right"/>
              <w:rPr>
                <w:rFonts w:cs="Arial"/>
              </w:rPr>
            </w:pPr>
            <w:r w:rsidRPr="0034227D">
              <w:rPr>
                <w:rFonts w:cs="Arial"/>
              </w:rPr>
              <w:t>2.299</w:t>
            </w:r>
          </w:p>
        </w:tc>
        <w:tc>
          <w:tcPr>
            <w:tcW w:w="0" w:type="auto"/>
            <w:vAlign w:val="center"/>
          </w:tcPr>
          <w:p w:rsidR="00A400FD" w:rsidRPr="00084CD2" w:rsidRDefault="00F0743D" w:rsidP="00A400FD">
            <w:pPr>
              <w:tabs>
                <w:tab w:val="left" w:pos="567"/>
                <w:tab w:val="left" w:pos="1134"/>
              </w:tabs>
              <w:spacing w:after="0"/>
              <w:jc w:val="right"/>
              <w:rPr>
                <w:rFonts w:cs="Arial"/>
                <w:highlight w:val="yellow"/>
              </w:rPr>
            </w:pPr>
            <w:r w:rsidRPr="001D1D96">
              <w:rPr>
                <w:rFonts w:cs="Arial"/>
              </w:rPr>
              <w:t>0.000</w:t>
            </w:r>
          </w:p>
        </w:tc>
        <w:tc>
          <w:tcPr>
            <w:tcW w:w="1248" w:type="dxa"/>
            <w:vAlign w:val="center"/>
          </w:tcPr>
          <w:p w:rsidR="00A400FD" w:rsidRPr="00D51C91" w:rsidRDefault="00F0743D" w:rsidP="00A400FD">
            <w:pPr>
              <w:tabs>
                <w:tab w:val="left" w:pos="567"/>
                <w:tab w:val="left" w:pos="1134"/>
              </w:tabs>
              <w:spacing w:after="0"/>
              <w:jc w:val="right"/>
              <w:rPr>
                <w:rFonts w:cs="Arial"/>
                <w:highlight w:val="yellow"/>
              </w:rPr>
            </w:pPr>
            <w:r w:rsidRPr="00D51C91">
              <w:rPr>
                <w:rFonts w:cs="Arial"/>
              </w:rPr>
              <w:t>0.000</w:t>
            </w:r>
          </w:p>
        </w:tc>
        <w:tc>
          <w:tcPr>
            <w:tcW w:w="1351" w:type="dxa"/>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rPr>
              <w:t>1.98</w:t>
            </w:r>
            <w:r>
              <w:rPr>
                <w:rFonts w:cs="Arial"/>
              </w:rPr>
              <w:t>0</w:t>
            </w:r>
          </w:p>
        </w:tc>
      </w:tr>
      <w:tr w:rsidR="00C54E82" w:rsidTr="00A400FD">
        <w:trPr>
          <w:trHeight w:val="404"/>
        </w:trPr>
        <w:tc>
          <w:tcPr>
            <w:tcW w:w="0" w:type="auto"/>
            <w:vAlign w:val="center"/>
          </w:tcPr>
          <w:p w:rsidR="00A400FD" w:rsidRPr="009E43A7" w:rsidRDefault="00F0743D" w:rsidP="00A400FD">
            <w:pPr>
              <w:tabs>
                <w:tab w:val="left" w:pos="567"/>
                <w:tab w:val="left" w:pos="1134"/>
              </w:tabs>
              <w:spacing w:after="0"/>
              <w:jc w:val="left"/>
              <w:rPr>
                <w:rFonts w:cs="Arial"/>
              </w:rPr>
            </w:pPr>
            <w:r>
              <w:rPr>
                <w:rFonts w:cs="Arial"/>
              </w:rPr>
              <w:t>Other pay related costs</w:t>
            </w:r>
          </w:p>
        </w:tc>
        <w:tc>
          <w:tcPr>
            <w:tcW w:w="0" w:type="auto"/>
            <w:vAlign w:val="center"/>
          </w:tcPr>
          <w:p w:rsidR="00A400FD" w:rsidRPr="0034227D" w:rsidRDefault="00F0743D" w:rsidP="00A400FD">
            <w:pPr>
              <w:tabs>
                <w:tab w:val="left" w:pos="567"/>
                <w:tab w:val="left" w:pos="1134"/>
              </w:tabs>
              <w:spacing w:after="0"/>
              <w:jc w:val="right"/>
              <w:rPr>
                <w:rFonts w:cs="Arial"/>
              </w:rPr>
            </w:pPr>
            <w:r>
              <w:rPr>
                <w:rFonts w:cs="Arial"/>
              </w:rPr>
              <w:t>0.071</w:t>
            </w:r>
          </w:p>
        </w:tc>
        <w:tc>
          <w:tcPr>
            <w:tcW w:w="0" w:type="auto"/>
            <w:vAlign w:val="center"/>
          </w:tcPr>
          <w:p w:rsidR="00A400FD" w:rsidRPr="0034227D" w:rsidRDefault="00F0743D" w:rsidP="00A400FD">
            <w:pPr>
              <w:tabs>
                <w:tab w:val="left" w:pos="567"/>
                <w:tab w:val="left" w:pos="1134"/>
              </w:tabs>
              <w:spacing w:after="0"/>
              <w:jc w:val="right"/>
              <w:rPr>
                <w:rFonts w:cs="Arial"/>
              </w:rPr>
            </w:pPr>
            <w:r>
              <w:rPr>
                <w:rFonts w:cs="Arial"/>
              </w:rPr>
              <w:t>0.013</w:t>
            </w:r>
          </w:p>
        </w:tc>
        <w:tc>
          <w:tcPr>
            <w:tcW w:w="0" w:type="auto"/>
            <w:vAlign w:val="center"/>
          </w:tcPr>
          <w:p w:rsidR="00A400FD" w:rsidRPr="001D1D96" w:rsidRDefault="00F0743D" w:rsidP="00A400FD">
            <w:pPr>
              <w:tabs>
                <w:tab w:val="left" w:pos="567"/>
                <w:tab w:val="left" w:pos="1134"/>
              </w:tabs>
              <w:spacing w:after="0"/>
              <w:jc w:val="right"/>
              <w:rPr>
                <w:rFonts w:cs="Arial"/>
              </w:rPr>
            </w:pPr>
            <w:r>
              <w:rPr>
                <w:rFonts w:cs="Arial"/>
              </w:rPr>
              <w:t>0.014</w:t>
            </w:r>
          </w:p>
        </w:tc>
        <w:tc>
          <w:tcPr>
            <w:tcW w:w="1248" w:type="dxa"/>
            <w:vAlign w:val="center"/>
          </w:tcPr>
          <w:p w:rsidR="00A400FD" w:rsidRPr="00D51C91" w:rsidRDefault="00F0743D" w:rsidP="00A400FD">
            <w:pPr>
              <w:tabs>
                <w:tab w:val="left" w:pos="567"/>
                <w:tab w:val="left" w:pos="1134"/>
              </w:tabs>
              <w:spacing w:after="0"/>
              <w:jc w:val="right"/>
              <w:rPr>
                <w:rFonts w:cs="Arial"/>
              </w:rPr>
            </w:pPr>
            <w:r>
              <w:rPr>
                <w:rFonts w:cs="Arial"/>
              </w:rPr>
              <w:t>0.014</w:t>
            </w:r>
          </w:p>
        </w:tc>
        <w:tc>
          <w:tcPr>
            <w:tcW w:w="1351" w:type="dxa"/>
            <w:vAlign w:val="center"/>
          </w:tcPr>
          <w:p w:rsidR="00A400FD" w:rsidRPr="001D1D96" w:rsidRDefault="00F0743D" w:rsidP="00A400FD">
            <w:pPr>
              <w:tabs>
                <w:tab w:val="left" w:pos="567"/>
                <w:tab w:val="left" w:pos="1134"/>
              </w:tabs>
              <w:spacing w:after="0"/>
              <w:jc w:val="right"/>
              <w:rPr>
                <w:rFonts w:cs="Arial"/>
              </w:rPr>
            </w:pPr>
            <w:r>
              <w:rPr>
                <w:rFonts w:cs="Arial"/>
              </w:rPr>
              <w:t>0.112</w:t>
            </w:r>
          </w:p>
        </w:tc>
      </w:tr>
      <w:tr w:rsidR="00C54E82" w:rsidTr="00A400FD">
        <w:trPr>
          <w:trHeight w:val="689"/>
        </w:trPr>
        <w:tc>
          <w:tcPr>
            <w:tcW w:w="0" w:type="auto"/>
            <w:vAlign w:val="center"/>
          </w:tcPr>
          <w:p w:rsidR="00A400FD" w:rsidRPr="00A459B2" w:rsidRDefault="00F0743D" w:rsidP="00A400FD">
            <w:pPr>
              <w:tabs>
                <w:tab w:val="left" w:pos="567"/>
                <w:tab w:val="left" w:pos="1134"/>
              </w:tabs>
              <w:spacing w:after="0"/>
              <w:jc w:val="left"/>
              <w:rPr>
                <w:rFonts w:cs="Arial"/>
                <w:b/>
              </w:rPr>
            </w:pPr>
            <w:r w:rsidRPr="00A459B2">
              <w:rPr>
                <w:rFonts w:cs="Arial"/>
                <w:b/>
              </w:rPr>
              <w:t>Revised Pay and Pension requirements</w:t>
            </w:r>
          </w:p>
        </w:tc>
        <w:tc>
          <w:tcPr>
            <w:tcW w:w="0" w:type="auto"/>
            <w:vAlign w:val="center"/>
          </w:tcPr>
          <w:p w:rsidR="00A400FD" w:rsidRPr="001D1D96" w:rsidRDefault="00F0743D" w:rsidP="00A400FD">
            <w:pPr>
              <w:tabs>
                <w:tab w:val="left" w:pos="567"/>
                <w:tab w:val="left" w:pos="1134"/>
              </w:tabs>
              <w:spacing w:after="0"/>
              <w:jc w:val="right"/>
              <w:rPr>
                <w:rFonts w:cs="Arial"/>
                <w:b/>
                <w:highlight w:val="yellow"/>
              </w:rPr>
            </w:pPr>
            <w:r>
              <w:rPr>
                <w:rFonts w:cs="Arial"/>
                <w:b/>
              </w:rPr>
              <w:t>10.398</w:t>
            </w:r>
          </w:p>
        </w:tc>
        <w:tc>
          <w:tcPr>
            <w:tcW w:w="0" w:type="auto"/>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b/>
              </w:rPr>
              <w:t>6.872</w:t>
            </w:r>
          </w:p>
        </w:tc>
        <w:tc>
          <w:tcPr>
            <w:tcW w:w="0" w:type="auto"/>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b/>
              </w:rPr>
              <w:t>4.278</w:t>
            </w:r>
          </w:p>
        </w:tc>
        <w:tc>
          <w:tcPr>
            <w:tcW w:w="1248" w:type="dxa"/>
            <w:vAlign w:val="center"/>
          </w:tcPr>
          <w:p w:rsidR="00A400FD" w:rsidRPr="001D1D96" w:rsidRDefault="00F0743D" w:rsidP="00A400FD">
            <w:pPr>
              <w:tabs>
                <w:tab w:val="left" w:pos="567"/>
                <w:tab w:val="left" w:pos="1134"/>
              </w:tabs>
              <w:spacing w:after="0"/>
              <w:jc w:val="right"/>
              <w:rPr>
                <w:rFonts w:cs="Arial"/>
                <w:b/>
                <w:highlight w:val="yellow"/>
              </w:rPr>
            </w:pPr>
            <w:r w:rsidRPr="001D1D96">
              <w:rPr>
                <w:rFonts w:cs="Arial"/>
                <w:b/>
              </w:rPr>
              <w:t>3.955</w:t>
            </w:r>
          </w:p>
        </w:tc>
        <w:tc>
          <w:tcPr>
            <w:tcW w:w="1351" w:type="dxa"/>
            <w:vAlign w:val="center"/>
          </w:tcPr>
          <w:p w:rsidR="00A400FD" w:rsidRPr="00084CD2" w:rsidRDefault="00F0743D" w:rsidP="00A400FD">
            <w:pPr>
              <w:tabs>
                <w:tab w:val="left" w:pos="567"/>
                <w:tab w:val="left" w:pos="1134"/>
              </w:tabs>
              <w:spacing w:after="0"/>
              <w:jc w:val="right"/>
              <w:rPr>
                <w:rFonts w:cs="Arial"/>
                <w:b/>
                <w:highlight w:val="yellow"/>
              </w:rPr>
            </w:pPr>
            <w:r w:rsidRPr="001D1D96">
              <w:rPr>
                <w:rFonts w:cs="Arial"/>
                <w:b/>
              </w:rPr>
              <w:t>2</w:t>
            </w:r>
            <w:r>
              <w:rPr>
                <w:rFonts w:cs="Arial"/>
                <w:b/>
              </w:rPr>
              <w:t>5.503</w:t>
            </w:r>
          </w:p>
        </w:tc>
      </w:tr>
      <w:tr w:rsidR="00C54E82" w:rsidTr="00A400FD">
        <w:trPr>
          <w:trHeight w:val="397"/>
        </w:trPr>
        <w:tc>
          <w:tcPr>
            <w:tcW w:w="0" w:type="auto"/>
            <w:vAlign w:val="center"/>
          </w:tcPr>
          <w:p w:rsidR="00A400FD" w:rsidRPr="009E43A7" w:rsidRDefault="007B1E59" w:rsidP="00A400FD">
            <w:pPr>
              <w:tabs>
                <w:tab w:val="left" w:pos="567"/>
                <w:tab w:val="left" w:pos="1134"/>
              </w:tabs>
              <w:spacing w:after="0"/>
              <w:jc w:val="left"/>
              <w:rPr>
                <w:rFonts w:cs="Arial"/>
                <w:b/>
              </w:rPr>
            </w:pPr>
          </w:p>
        </w:tc>
        <w:tc>
          <w:tcPr>
            <w:tcW w:w="0" w:type="auto"/>
            <w:vAlign w:val="center"/>
          </w:tcPr>
          <w:p w:rsidR="00A400FD" w:rsidRPr="001D1D96" w:rsidRDefault="007B1E59" w:rsidP="00A400FD">
            <w:pPr>
              <w:tabs>
                <w:tab w:val="left" w:pos="567"/>
                <w:tab w:val="left" w:pos="1134"/>
              </w:tabs>
              <w:spacing w:after="0"/>
              <w:jc w:val="right"/>
              <w:rPr>
                <w:rFonts w:cs="Arial"/>
                <w:b/>
              </w:rPr>
            </w:pPr>
          </w:p>
        </w:tc>
        <w:tc>
          <w:tcPr>
            <w:tcW w:w="0" w:type="auto"/>
            <w:vAlign w:val="center"/>
          </w:tcPr>
          <w:p w:rsidR="00A400FD" w:rsidRPr="001D1D96" w:rsidRDefault="007B1E59" w:rsidP="00A400FD">
            <w:pPr>
              <w:tabs>
                <w:tab w:val="left" w:pos="567"/>
                <w:tab w:val="left" w:pos="1134"/>
              </w:tabs>
              <w:spacing w:after="0"/>
              <w:jc w:val="right"/>
              <w:rPr>
                <w:rFonts w:cs="Arial"/>
                <w:b/>
              </w:rPr>
            </w:pPr>
          </w:p>
        </w:tc>
        <w:tc>
          <w:tcPr>
            <w:tcW w:w="0" w:type="auto"/>
            <w:vAlign w:val="center"/>
          </w:tcPr>
          <w:p w:rsidR="00A400FD" w:rsidRPr="001D1D96" w:rsidRDefault="007B1E59" w:rsidP="00A400FD">
            <w:pPr>
              <w:tabs>
                <w:tab w:val="left" w:pos="567"/>
                <w:tab w:val="left" w:pos="1134"/>
              </w:tabs>
              <w:spacing w:after="0"/>
              <w:jc w:val="right"/>
              <w:rPr>
                <w:rFonts w:cs="Arial"/>
                <w:b/>
              </w:rPr>
            </w:pPr>
          </w:p>
        </w:tc>
        <w:tc>
          <w:tcPr>
            <w:tcW w:w="1248" w:type="dxa"/>
            <w:vAlign w:val="center"/>
          </w:tcPr>
          <w:p w:rsidR="00A400FD" w:rsidRDefault="007B1E59" w:rsidP="00A400FD">
            <w:pPr>
              <w:tabs>
                <w:tab w:val="left" w:pos="567"/>
                <w:tab w:val="left" w:pos="1134"/>
              </w:tabs>
              <w:spacing w:after="0"/>
              <w:jc w:val="right"/>
              <w:rPr>
                <w:rFonts w:cs="Arial"/>
                <w:b/>
              </w:rPr>
            </w:pPr>
          </w:p>
        </w:tc>
        <w:tc>
          <w:tcPr>
            <w:tcW w:w="1351" w:type="dxa"/>
            <w:vAlign w:val="center"/>
          </w:tcPr>
          <w:p w:rsidR="00A400FD" w:rsidRDefault="007B1E59" w:rsidP="00A400FD">
            <w:pPr>
              <w:tabs>
                <w:tab w:val="left" w:pos="567"/>
                <w:tab w:val="left" w:pos="1134"/>
              </w:tabs>
              <w:spacing w:after="0"/>
              <w:jc w:val="right"/>
              <w:rPr>
                <w:rFonts w:cs="Arial"/>
                <w:b/>
              </w:rPr>
            </w:pPr>
          </w:p>
        </w:tc>
      </w:tr>
      <w:tr w:rsidR="00C54E82" w:rsidTr="00A400FD">
        <w:trPr>
          <w:trHeight w:val="689"/>
        </w:trPr>
        <w:tc>
          <w:tcPr>
            <w:tcW w:w="0" w:type="auto"/>
            <w:vAlign w:val="center"/>
          </w:tcPr>
          <w:p w:rsidR="00A400FD" w:rsidRPr="00084CD2" w:rsidRDefault="00F0743D" w:rsidP="00A400FD">
            <w:pPr>
              <w:tabs>
                <w:tab w:val="left" w:pos="567"/>
                <w:tab w:val="left" w:pos="1134"/>
              </w:tabs>
              <w:spacing w:after="0"/>
              <w:jc w:val="left"/>
              <w:rPr>
                <w:rFonts w:cs="Arial"/>
                <w:b/>
                <w:highlight w:val="yellow"/>
              </w:rPr>
            </w:pPr>
            <w:r w:rsidRPr="009E43A7">
              <w:rPr>
                <w:rFonts w:cs="Arial"/>
                <w:b/>
              </w:rPr>
              <w:t>Pay and Pensions -previous MTFS</w:t>
            </w:r>
          </w:p>
        </w:tc>
        <w:tc>
          <w:tcPr>
            <w:tcW w:w="0" w:type="auto"/>
            <w:vAlign w:val="center"/>
          </w:tcPr>
          <w:p w:rsidR="00A400FD" w:rsidRPr="001D1D96" w:rsidRDefault="00F0743D" w:rsidP="00A400FD">
            <w:pPr>
              <w:tabs>
                <w:tab w:val="left" w:pos="567"/>
                <w:tab w:val="left" w:pos="1134"/>
              </w:tabs>
              <w:spacing w:after="0"/>
              <w:jc w:val="right"/>
              <w:rPr>
                <w:rFonts w:cs="Arial"/>
                <w:b/>
              </w:rPr>
            </w:pPr>
            <w:r w:rsidRPr="001D1D96">
              <w:rPr>
                <w:rFonts w:cs="Arial"/>
                <w:b/>
              </w:rPr>
              <w:t>10.367</w:t>
            </w:r>
          </w:p>
        </w:tc>
        <w:tc>
          <w:tcPr>
            <w:tcW w:w="0" w:type="auto"/>
            <w:vAlign w:val="center"/>
          </w:tcPr>
          <w:p w:rsidR="00A400FD" w:rsidRPr="001D1D96" w:rsidRDefault="00F0743D" w:rsidP="00A400FD">
            <w:pPr>
              <w:tabs>
                <w:tab w:val="left" w:pos="567"/>
                <w:tab w:val="left" w:pos="1134"/>
              </w:tabs>
              <w:spacing w:after="0"/>
              <w:jc w:val="right"/>
              <w:rPr>
                <w:rFonts w:cs="Arial"/>
                <w:b/>
              </w:rPr>
            </w:pPr>
            <w:r w:rsidRPr="001D1D96">
              <w:rPr>
                <w:rFonts w:cs="Arial"/>
                <w:b/>
              </w:rPr>
              <w:t>7.416</w:t>
            </w:r>
          </w:p>
        </w:tc>
        <w:tc>
          <w:tcPr>
            <w:tcW w:w="0" w:type="auto"/>
            <w:vAlign w:val="center"/>
          </w:tcPr>
          <w:p w:rsidR="00A400FD" w:rsidRPr="001D1D96" w:rsidRDefault="00F0743D" w:rsidP="00A400FD">
            <w:pPr>
              <w:tabs>
                <w:tab w:val="left" w:pos="567"/>
                <w:tab w:val="left" w:pos="1134"/>
              </w:tabs>
              <w:spacing w:after="0"/>
              <w:jc w:val="right"/>
              <w:rPr>
                <w:rFonts w:cs="Arial"/>
                <w:b/>
              </w:rPr>
            </w:pPr>
            <w:r w:rsidRPr="001D1D96">
              <w:rPr>
                <w:rFonts w:cs="Arial"/>
                <w:b/>
              </w:rPr>
              <w:t>4.805</w:t>
            </w:r>
          </w:p>
        </w:tc>
        <w:tc>
          <w:tcPr>
            <w:tcW w:w="1248" w:type="dxa"/>
            <w:vAlign w:val="center"/>
          </w:tcPr>
          <w:p w:rsidR="00A400FD" w:rsidRPr="001D1D96" w:rsidRDefault="00F0743D" w:rsidP="00A400FD">
            <w:pPr>
              <w:tabs>
                <w:tab w:val="left" w:pos="567"/>
                <w:tab w:val="left" w:pos="1134"/>
              </w:tabs>
              <w:spacing w:after="0"/>
              <w:jc w:val="right"/>
              <w:rPr>
                <w:rFonts w:cs="Arial"/>
                <w:b/>
              </w:rPr>
            </w:pPr>
            <w:r>
              <w:rPr>
                <w:rFonts w:cs="Arial"/>
                <w:b/>
              </w:rPr>
              <w:t>0.000</w:t>
            </w:r>
          </w:p>
        </w:tc>
        <w:tc>
          <w:tcPr>
            <w:tcW w:w="1351" w:type="dxa"/>
            <w:vAlign w:val="center"/>
          </w:tcPr>
          <w:p w:rsidR="00A400FD" w:rsidRPr="009E43A7" w:rsidRDefault="00F0743D" w:rsidP="00A400FD">
            <w:pPr>
              <w:tabs>
                <w:tab w:val="left" w:pos="567"/>
                <w:tab w:val="left" w:pos="1134"/>
              </w:tabs>
              <w:spacing w:after="0"/>
              <w:jc w:val="right"/>
              <w:rPr>
                <w:rFonts w:cs="Arial"/>
                <w:b/>
              </w:rPr>
            </w:pPr>
            <w:r>
              <w:rPr>
                <w:rFonts w:cs="Arial"/>
                <w:b/>
              </w:rPr>
              <w:t>22.588</w:t>
            </w:r>
          </w:p>
        </w:tc>
      </w:tr>
      <w:tr w:rsidR="00C54E82" w:rsidTr="00A400FD">
        <w:trPr>
          <w:trHeight w:val="285"/>
        </w:trPr>
        <w:tc>
          <w:tcPr>
            <w:tcW w:w="0" w:type="auto"/>
            <w:vAlign w:val="center"/>
          </w:tcPr>
          <w:p w:rsidR="00A400FD" w:rsidRPr="00084CD2" w:rsidRDefault="007B1E59" w:rsidP="00A400FD">
            <w:pPr>
              <w:tabs>
                <w:tab w:val="left" w:pos="567"/>
                <w:tab w:val="left" w:pos="1134"/>
              </w:tabs>
              <w:spacing w:after="0"/>
              <w:jc w:val="lef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1248" w:type="dxa"/>
            <w:vAlign w:val="center"/>
          </w:tcPr>
          <w:p w:rsidR="00A400FD" w:rsidRPr="00084CD2" w:rsidRDefault="007B1E59" w:rsidP="00A400FD">
            <w:pPr>
              <w:tabs>
                <w:tab w:val="left" w:pos="567"/>
                <w:tab w:val="left" w:pos="1134"/>
              </w:tabs>
              <w:spacing w:after="0"/>
              <w:jc w:val="right"/>
              <w:rPr>
                <w:rFonts w:cs="Arial"/>
                <w:b/>
                <w:highlight w:val="yellow"/>
              </w:rPr>
            </w:pPr>
          </w:p>
        </w:tc>
        <w:tc>
          <w:tcPr>
            <w:tcW w:w="1351" w:type="dxa"/>
            <w:vAlign w:val="center"/>
          </w:tcPr>
          <w:p w:rsidR="00A400FD" w:rsidRPr="00084CD2" w:rsidRDefault="007B1E59" w:rsidP="00A400FD">
            <w:pPr>
              <w:tabs>
                <w:tab w:val="left" w:pos="567"/>
                <w:tab w:val="left" w:pos="1134"/>
              </w:tabs>
              <w:spacing w:after="0"/>
              <w:jc w:val="right"/>
              <w:rPr>
                <w:rFonts w:cs="Arial"/>
                <w:b/>
                <w:highlight w:val="yellow"/>
              </w:rPr>
            </w:pPr>
          </w:p>
        </w:tc>
      </w:tr>
      <w:tr w:rsidR="00C54E82" w:rsidTr="00A400FD">
        <w:trPr>
          <w:trHeight w:val="689"/>
        </w:trPr>
        <w:tc>
          <w:tcPr>
            <w:tcW w:w="0" w:type="auto"/>
            <w:vAlign w:val="center"/>
          </w:tcPr>
          <w:p w:rsidR="00A400FD" w:rsidRPr="00084CD2" w:rsidRDefault="00F0743D" w:rsidP="00A400FD">
            <w:pPr>
              <w:tabs>
                <w:tab w:val="left" w:pos="567"/>
                <w:tab w:val="left" w:pos="1134"/>
              </w:tabs>
              <w:spacing w:after="0"/>
              <w:jc w:val="left"/>
              <w:rPr>
                <w:rFonts w:cs="Arial"/>
                <w:b/>
                <w:highlight w:val="yellow"/>
              </w:rPr>
            </w:pPr>
            <w:r w:rsidRPr="0034227D">
              <w:rPr>
                <w:rFonts w:cs="Arial"/>
                <w:b/>
              </w:rPr>
              <w:t>Impact on Financial Gap</w:t>
            </w:r>
          </w:p>
        </w:tc>
        <w:tc>
          <w:tcPr>
            <w:tcW w:w="0" w:type="auto"/>
            <w:vAlign w:val="center"/>
          </w:tcPr>
          <w:p w:rsidR="00A400FD" w:rsidRPr="008E18ED" w:rsidRDefault="00F0743D" w:rsidP="00A400FD">
            <w:pPr>
              <w:tabs>
                <w:tab w:val="left" w:pos="567"/>
                <w:tab w:val="left" w:pos="1134"/>
              </w:tabs>
              <w:spacing w:after="0"/>
              <w:jc w:val="right"/>
              <w:rPr>
                <w:rFonts w:cs="Arial"/>
                <w:b/>
                <w:highlight w:val="yellow"/>
              </w:rPr>
            </w:pPr>
            <w:r>
              <w:rPr>
                <w:rFonts w:cs="Arial"/>
                <w:b/>
              </w:rPr>
              <w:t>0.031</w:t>
            </w:r>
          </w:p>
        </w:tc>
        <w:tc>
          <w:tcPr>
            <w:tcW w:w="0" w:type="auto"/>
            <w:vAlign w:val="center"/>
          </w:tcPr>
          <w:p w:rsidR="00A400FD" w:rsidRPr="008E18ED" w:rsidRDefault="00F0743D" w:rsidP="00A400FD">
            <w:pPr>
              <w:tabs>
                <w:tab w:val="left" w:pos="567"/>
                <w:tab w:val="left" w:pos="1134"/>
              </w:tabs>
              <w:spacing w:after="0"/>
              <w:jc w:val="right"/>
              <w:rPr>
                <w:rFonts w:cs="Arial"/>
                <w:b/>
                <w:highlight w:val="yellow"/>
              </w:rPr>
            </w:pPr>
            <w:r w:rsidRPr="008E18ED">
              <w:rPr>
                <w:rFonts w:cs="Arial"/>
                <w:b/>
              </w:rPr>
              <w:t>-0.544</w:t>
            </w:r>
          </w:p>
        </w:tc>
        <w:tc>
          <w:tcPr>
            <w:tcW w:w="0" w:type="auto"/>
            <w:vAlign w:val="center"/>
          </w:tcPr>
          <w:p w:rsidR="00A400FD" w:rsidRPr="008E18ED" w:rsidRDefault="00F0743D" w:rsidP="00A400FD">
            <w:pPr>
              <w:tabs>
                <w:tab w:val="left" w:pos="567"/>
                <w:tab w:val="left" w:pos="1134"/>
              </w:tabs>
              <w:spacing w:after="0"/>
              <w:jc w:val="right"/>
              <w:rPr>
                <w:rFonts w:cs="Arial"/>
                <w:b/>
                <w:highlight w:val="yellow"/>
              </w:rPr>
            </w:pPr>
            <w:r w:rsidRPr="008E18ED">
              <w:rPr>
                <w:rFonts w:cs="Arial"/>
                <w:b/>
              </w:rPr>
              <w:t>-0.527</w:t>
            </w:r>
          </w:p>
        </w:tc>
        <w:tc>
          <w:tcPr>
            <w:tcW w:w="1248" w:type="dxa"/>
            <w:vAlign w:val="center"/>
          </w:tcPr>
          <w:p w:rsidR="00A400FD" w:rsidRPr="008E18ED" w:rsidRDefault="00F0743D" w:rsidP="00A400FD">
            <w:pPr>
              <w:tabs>
                <w:tab w:val="left" w:pos="567"/>
                <w:tab w:val="left" w:pos="1134"/>
              </w:tabs>
              <w:spacing w:after="0"/>
              <w:jc w:val="right"/>
              <w:rPr>
                <w:rFonts w:cs="Arial"/>
                <w:b/>
                <w:highlight w:val="yellow"/>
              </w:rPr>
            </w:pPr>
            <w:r w:rsidRPr="008E18ED">
              <w:rPr>
                <w:rFonts w:cs="Arial"/>
                <w:b/>
              </w:rPr>
              <w:t>3.955</w:t>
            </w:r>
          </w:p>
        </w:tc>
        <w:tc>
          <w:tcPr>
            <w:tcW w:w="1351" w:type="dxa"/>
            <w:vAlign w:val="center"/>
          </w:tcPr>
          <w:p w:rsidR="00A400FD" w:rsidRPr="00BA3E11" w:rsidRDefault="007B1E59" w:rsidP="00A400FD">
            <w:pPr>
              <w:tabs>
                <w:tab w:val="left" w:pos="567"/>
                <w:tab w:val="left" w:pos="1134"/>
              </w:tabs>
              <w:spacing w:after="0"/>
              <w:jc w:val="right"/>
              <w:rPr>
                <w:rFonts w:cs="Arial"/>
                <w:b/>
              </w:rPr>
            </w:pPr>
          </w:p>
          <w:p w:rsidR="00A400FD" w:rsidRPr="00BA3E11" w:rsidRDefault="00F0743D" w:rsidP="00A400FD">
            <w:pPr>
              <w:tabs>
                <w:tab w:val="left" w:pos="567"/>
                <w:tab w:val="left" w:pos="1134"/>
              </w:tabs>
              <w:spacing w:after="0"/>
              <w:jc w:val="right"/>
              <w:rPr>
                <w:rFonts w:cs="Arial"/>
                <w:b/>
              </w:rPr>
            </w:pPr>
            <w:r w:rsidRPr="00BA3E11">
              <w:rPr>
                <w:rFonts w:cs="Arial"/>
                <w:b/>
              </w:rPr>
              <w:t>2.</w:t>
            </w:r>
            <w:r>
              <w:rPr>
                <w:rFonts w:cs="Arial"/>
                <w:b/>
              </w:rPr>
              <w:t>915</w:t>
            </w:r>
          </w:p>
          <w:p w:rsidR="00A400FD" w:rsidRPr="00BA3E11" w:rsidRDefault="007B1E59" w:rsidP="00A400FD">
            <w:pPr>
              <w:tabs>
                <w:tab w:val="left" w:pos="567"/>
                <w:tab w:val="left" w:pos="1134"/>
              </w:tabs>
              <w:spacing w:after="0"/>
              <w:jc w:val="right"/>
              <w:rPr>
                <w:rFonts w:cs="Arial"/>
                <w:b/>
              </w:rPr>
            </w:pPr>
          </w:p>
        </w:tc>
      </w:tr>
    </w:tbl>
    <w:p w:rsidR="00A400FD" w:rsidRDefault="007B1E59" w:rsidP="00A400FD">
      <w:pPr>
        <w:spacing w:after="0"/>
        <w:rPr>
          <w:rFonts w:cs="Arial"/>
          <w:b/>
          <w:highlight w:val="yellow"/>
        </w:rPr>
      </w:pPr>
    </w:p>
    <w:p w:rsidR="00A400FD" w:rsidRPr="009D1723" w:rsidRDefault="00F0743D" w:rsidP="00A400FD">
      <w:pPr>
        <w:spacing w:after="0"/>
        <w:rPr>
          <w:rFonts w:cs="Arial"/>
          <w:b/>
        </w:rPr>
      </w:pPr>
      <w:r w:rsidRPr="009D1723">
        <w:rPr>
          <w:rFonts w:cs="Arial"/>
          <w:b/>
        </w:rPr>
        <w:t>3.2 Price Inflation and Cost Changes</w:t>
      </w:r>
    </w:p>
    <w:p w:rsidR="00A400FD" w:rsidRPr="0027133C" w:rsidRDefault="007B1E59" w:rsidP="00A400FD">
      <w:pPr>
        <w:spacing w:after="0"/>
        <w:rPr>
          <w:rFonts w:cs="Arial"/>
          <w:b/>
        </w:rPr>
      </w:pPr>
    </w:p>
    <w:p w:rsidR="00A400FD" w:rsidRDefault="00F0743D" w:rsidP="00A400FD">
      <w:pPr>
        <w:spacing w:after="0"/>
        <w:rPr>
          <w:rFonts w:cs="Arial"/>
        </w:rPr>
      </w:pPr>
      <w:r w:rsidRPr="00BB5356">
        <w:rPr>
          <w:rFonts w:cs="Arial"/>
        </w:rPr>
        <w:t xml:space="preserve">Contractual price increases represent a significant cost pressure to the </w:t>
      </w:r>
      <w:r>
        <w:rPr>
          <w:rFonts w:cs="Arial"/>
        </w:rPr>
        <w:t>c</w:t>
      </w:r>
      <w:r w:rsidRPr="00BB5356">
        <w:rPr>
          <w:rFonts w:cs="Arial"/>
        </w:rPr>
        <w:t xml:space="preserve">ounty </w:t>
      </w:r>
      <w:r>
        <w:rPr>
          <w:rFonts w:cs="Arial"/>
        </w:rPr>
        <w:t>c</w:t>
      </w:r>
      <w:r w:rsidRPr="00BB5356">
        <w:rPr>
          <w:rFonts w:cs="Arial"/>
        </w:rPr>
        <w:t>ouncil. The assumptions have been subject to regular review by ser</w:t>
      </w:r>
      <w:r>
        <w:rPr>
          <w:rFonts w:cs="Arial"/>
        </w:rPr>
        <w:t>vices with an incremental reduction of £5.041</w:t>
      </w:r>
      <w:r w:rsidRPr="00BB5356">
        <w:rPr>
          <w:rFonts w:cs="Arial"/>
        </w:rPr>
        <w:t>m identified when comparing the value</w:t>
      </w:r>
      <w:r>
        <w:rPr>
          <w:rFonts w:cs="Arial"/>
        </w:rPr>
        <w:t>s within the previous MTFS (2019/20</w:t>
      </w:r>
      <w:r w:rsidRPr="00BB5356">
        <w:rPr>
          <w:rFonts w:cs="Arial"/>
        </w:rPr>
        <w:t xml:space="preserve"> – 20</w:t>
      </w:r>
      <w:r>
        <w:rPr>
          <w:rFonts w:cs="Arial"/>
        </w:rPr>
        <w:t>21</w:t>
      </w:r>
      <w:r w:rsidRPr="00BB5356">
        <w:rPr>
          <w:rFonts w:cs="Arial"/>
        </w:rPr>
        <w:t>/</w:t>
      </w:r>
      <w:r>
        <w:rPr>
          <w:rFonts w:cs="Arial"/>
        </w:rPr>
        <w:t>2</w:t>
      </w:r>
      <w:r w:rsidRPr="00BB5356">
        <w:rPr>
          <w:rFonts w:cs="Arial"/>
        </w:rPr>
        <w:t>2</w:t>
      </w:r>
      <w:r>
        <w:rPr>
          <w:rFonts w:cs="Arial"/>
        </w:rPr>
        <w:t>) and £20</w:t>
      </w:r>
      <w:r w:rsidRPr="00BB5356">
        <w:rPr>
          <w:rFonts w:cs="Arial"/>
        </w:rPr>
        <w:t>.</w:t>
      </w:r>
      <w:r>
        <w:rPr>
          <w:rFonts w:cs="Arial"/>
        </w:rPr>
        <w:t>437</w:t>
      </w:r>
      <w:r w:rsidRPr="00BB5356">
        <w:rPr>
          <w:rFonts w:cs="Arial"/>
        </w:rPr>
        <w:t>m included in 202</w:t>
      </w:r>
      <w:r>
        <w:rPr>
          <w:rFonts w:cs="Arial"/>
        </w:rPr>
        <w:t>2</w:t>
      </w:r>
      <w:r w:rsidRPr="00BB5356">
        <w:rPr>
          <w:rFonts w:cs="Arial"/>
        </w:rPr>
        <w:t>/2</w:t>
      </w:r>
      <w:r>
        <w:rPr>
          <w:rFonts w:cs="Arial"/>
        </w:rPr>
        <w:t>3</w:t>
      </w:r>
      <w:r w:rsidRPr="00BB5356">
        <w:rPr>
          <w:rFonts w:cs="Arial"/>
        </w:rPr>
        <w:t xml:space="preserve"> to reflect </w:t>
      </w:r>
      <w:r>
        <w:rPr>
          <w:rFonts w:cs="Arial"/>
        </w:rPr>
        <w:t>the</w:t>
      </w:r>
      <w:r w:rsidRPr="00BB5356">
        <w:rPr>
          <w:rFonts w:cs="Arial"/>
        </w:rPr>
        <w:t xml:space="preserve"> additional year. </w:t>
      </w:r>
    </w:p>
    <w:p w:rsidR="00A400FD" w:rsidRDefault="007B1E59" w:rsidP="00A400FD">
      <w:pPr>
        <w:spacing w:after="0"/>
        <w:rPr>
          <w:rFonts w:cs="Arial"/>
        </w:rPr>
      </w:pPr>
    </w:p>
    <w:p w:rsidR="00A400FD" w:rsidRPr="004C48B9" w:rsidRDefault="00F0743D" w:rsidP="00A400FD">
      <w:pPr>
        <w:spacing w:after="0"/>
        <w:rPr>
          <w:rFonts w:cs="Arial"/>
          <w:b/>
          <w:i/>
          <w:u w:val="single"/>
        </w:rPr>
      </w:pPr>
      <w:r w:rsidRPr="004C48B9">
        <w:rPr>
          <w:rFonts w:cs="Arial"/>
          <w:b/>
          <w:i/>
          <w:u w:val="single"/>
        </w:rPr>
        <w:t>Table 5</w:t>
      </w:r>
    </w:p>
    <w:p w:rsidR="00A400FD" w:rsidRPr="00084CD2" w:rsidRDefault="007B1E59" w:rsidP="00A400FD">
      <w:pPr>
        <w:tabs>
          <w:tab w:val="left" w:pos="567"/>
          <w:tab w:val="left" w:pos="1134"/>
        </w:tabs>
        <w:spacing w:after="0"/>
        <w:rPr>
          <w:rFonts w:cs="Arial"/>
          <w:highlight w:val="yellow"/>
        </w:rPr>
      </w:pPr>
    </w:p>
    <w:tbl>
      <w:tblPr>
        <w:tblStyle w:val="TableGrid"/>
        <w:tblW w:w="8753" w:type="dxa"/>
        <w:jc w:val="center"/>
        <w:tblLook w:val="04A0" w:firstRow="1" w:lastRow="0" w:firstColumn="1" w:lastColumn="0" w:noHBand="0" w:noVBand="1"/>
      </w:tblPr>
      <w:tblGrid>
        <w:gridCol w:w="3220"/>
        <w:gridCol w:w="1084"/>
        <w:gridCol w:w="1084"/>
        <w:gridCol w:w="1084"/>
        <w:gridCol w:w="1196"/>
        <w:gridCol w:w="1085"/>
      </w:tblGrid>
      <w:tr w:rsidR="00C54E82" w:rsidTr="00A400FD">
        <w:trPr>
          <w:trHeight w:val="692"/>
          <w:jc w:val="center"/>
        </w:trPr>
        <w:tc>
          <w:tcPr>
            <w:tcW w:w="0" w:type="auto"/>
            <w:shd w:val="clear" w:color="auto" w:fill="BFBFBF" w:themeFill="background1" w:themeFillShade="BF"/>
          </w:tcPr>
          <w:p w:rsidR="00A400FD" w:rsidRPr="00084CD2" w:rsidRDefault="007B1E59" w:rsidP="00A400FD">
            <w:pPr>
              <w:tabs>
                <w:tab w:val="left" w:pos="567"/>
                <w:tab w:val="left" w:pos="1134"/>
              </w:tabs>
              <w:spacing w:after="0"/>
              <w:rPr>
                <w:rFonts w:cs="Arial"/>
                <w:highlight w:val="yellow"/>
              </w:rPr>
            </w:pPr>
          </w:p>
        </w:tc>
        <w:tc>
          <w:tcPr>
            <w:tcW w:w="0" w:type="auto"/>
            <w:shd w:val="clear" w:color="auto" w:fill="BFBFBF" w:themeFill="background1" w:themeFillShade="BF"/>
            <w:vAlign w:val="center"/>
          </w:tcPr>
          <w:p w:rsidR="00A400FD" w:rsidRPr="009D1723" w:rsidRDefault="00F0743D" w:rsidP="00A400FD">
            <w:pPr>
              <w:tabs>
                <w:tab w:val="left" w:pos="567"/>
                <w:tab w:val="left" w:pos="1134"/>
              </w:tabs>
              <w:spacing w:after="0"/>
              <w:jc w:val="center"/>
              <w:rPr>
                <w:rFonts w:cs="Arial"/>
                <w:b/>
              </w:rPr>
            </w:pPr>
            <w:r w:rsidRPr="009D1723">
              <w:rPr>
                <w:rFonts w:cs="Arial"/>
                <w:b/>
              </w:rPr>
              <w:t>2019/20</w:t>
            </w:r>
          </w:p>
          <w:p w:rsidR="00A400FD" w:rsidRPr="009D1723" w:rsidRDefault="00F0743D" w:rsidP="00A400FD">
            <w:pPr>
              <w:tabs>
                <w:tab w:val="left" w:pos="567"/>
                <w:tab w:val="left" w:pos="1134"/>
              </w:tabs>
              <w:spacing w:after="0"/>
              <w:jc w:val="center"/>
              <w:rPr>
                <w:rFonts w:cs="Arial"/>
                <w:b/>
              </w:rPr>
            </w:pPr>
            <w:r w:rsidRPr="009D1723">
              <w:rPr>
                <w:rFonts w:cs="Arial"/>
                <w:b/>
              </w:rPr>
              <w:t>£m</w:t>
            </w:r>
          </w:p>
        </w:tc>
        <w:tc>
          <w:tcPr>
            <w:tcW w:w="0" w:type="auto"/>
            <w:shd w:val="clear" w:color="auto" w:fill="BFBFBF" w:themeFill="background1" w:themeFillShade="BF"/>
            <w:vAlign w:val="center"/>
          </w:tcPr>
          <w:p w:rsidR="00A400FD" w:rsidRPr="009D1723" w:rsidRDefault="00F0743D" w:rsidP="00A400FD">
            <w:pPr>
              <w:tabs>
                <w:tab w:val="left" w:pos="567"/>
                <w:tab w:val="left" w:pos="1134"/>
              </w:tabs>
              <w:spacing w:after="0"/>
              <w:jc w:val="center"/>
              <w:rPr>
                <w:rFonts w:cs="Arial"/>
                <w:b/>
              </w:rPr>
            </w:pPr>
            <w:r w:rsidRPr="009D1723">
              <w:rPr>
                <w:rFonts w:cs="Arial"/>
                <w:b/>
              </w:rPr>
              <w:t>2020/21</w:t>
            </w:r>
          </w:p>
          <w:p w:rsidR="00A400FD" w:rsidRPr="009D1723" w:rsidRDefault="00F0743D" w:rsidP="00A400FD">
            <w:pPr>
              <w:tabs>
                <w:tab w:val="left" w:pos="567"/>
                <w:tab w:val="left" w:pos="1134"/>
              </w:tabs>
              <w:spacing w:after="0"/>
              <w:jc w:val="center"/>
              <w:rPr>
                <w:rFonts w:cs="Arial"/>
                <w:b/>
              </w:rPr>
            </w:pPr>
            <w:r w:rsidRPr="009D1723">
              <w:rPr>
                <w:rFonts w:cs="Arial"/>
                <w:b/>
              </w:rPr>
              <w:t>£m</w:t>
            </w:r>
          </w:p>
        </w:tc>
        <w:tc>
          <w:tcPr>
            <w:tcW w:w="0" w:type="auto"/>
            <w:shd w:val="clear" w:color="auto" w:fill="BFBFBF" w:themeFill="background1" w:themeFillShade="BF"/>
            <w:vAlign w:val="center"/>
          </w:tcPr>
          <w:p w:rsidR="00A400FD" w:rsidRPr="009D1723" w:rsidRDefault="00F0743D" w:rsidP="00A400FD">
            <w:pPr>
              <w:tabs>
                <w:tab w:val="left" w:pos="567"/>
                <w:tab w:val="left" w:pos="1134"/>
              </w:tabs>
              <w:spacing w:after="0"/>
              <w:jc w:val="center"/>
              <w:rPr>
                <w:rFonts w:cs="Arial"/>
                <w:b/>
              </w:rPr>
            </w:pPr>
            <w:r w:rsidRPr="009D1723">
              <w:rPr>
                <w:rFonts w:cs="Arial"/>
                <w:b/>
              </w:rPr>
              <w:t>2021/22</w:t>
            </w:r>
          </w:p>
          <w:p w:rsidR="00A400FD" w:rsidRPr="009D1723" w:rsidRDefault="00F0743D" w:rsidP="00A400FD">
            <w:pPr>
              <w:tabs>
                <w:tab w:val="left" w:pos="567"/>
                <w:tab w:val="left" w:pos="1134"/>
              </w:tabs>
              <w:spacing w:after="0"/>
              <w:jc w:val="center"/>
              <w:rPr>
                <w:rFonts w:cs="Arial"/>
                <w:b/>
              </w:rPr>
            </w:pPr>
            <w:r w:rsidRPr="009D1723">
              <w:rPr>
                <w:rFonts w:cs="Arial"/>
                <w:b/>
              </w:rPr>
              <w:t>£m</w:t>
            </w:r>
          </w:p>
        </w:tc>
        <w:tc>
          <w:tcPr>
            <w:tcW w:w="1196" w:type="dxa"/>
            <w:shd w:val="clear" w:color="auto" w:fill="BFBFBF" w:themeFill="background1" w:themeFillShade="BF"/>
            <w:vAlign w:val="center"/>
          </w:tcPr>
          <w:p w:rsidR="00A400FD" w:rsidRPr="009D1723" w:rsidRDefault="00F0743D" w:rsidP="00A400FD">
            <w:pPr>
              <w:tabs>
                <w:tab w:val="left" w:pos="567"/>
                <w:tab w:val="left" w:pos="1134"/>
              </w:tabs>
              <w:spacing w:after="0"/>
              <w:jc w:val="center"/>
              <w:rPr>
                <w:rFonts w:cs="Arial"/>
                <w:b/>
              </w:rPr>
            </w:pPr>
            <w:r w:rsidRPr="009D1723">
              <w:rPr>
                <w:rFonts w:cs="Arial"/>
                <w:b/>
              </w:rPr>
              <w:t>2022/23</w:t>
            </w:r>
          </w:p>
          <w:p w:rsidR="00A400FD" w:rsidRPr="009D1723" w:rsidRDefault="00F0743D" w:rsidP="00A400FD">
            <w:pPr>
              <w:tabs>
                <w:tab w:val="left" w:pos="567"/>
                <w:tab w:val="left" w:pos="1134"/>
              </w:tabs>
              <w:spacing w:after="0"/>
              <w:jc w:val="center"/>
              <w:rPr>
                <w:rFonts w:cs="Arial"/>
                <w:b/>
              </w:rPr>
            </w:pPr>
            <w:r w:rsidRPr="009D1723">
              <w:rPr>
                <w:rFonts w:cs="Arial"/>
                <w:b/>
              </w:rPr>
              <w:t>£m</w:t>
            </w:r>
          </w:p>
        </w:tc>
        <w:tc>
          <w:tcPr>
            <w:tcW w:w="1085" w:type="dxa"/>
            <w:shd w:val="clear" w:color="auto" w:fill="BFBFBF" w:themeFill="background1" w:themeFillShade="BF"/>
            <w:vAlign w:val="center"/>
          </w:tcPr>
          <w:p w:rsidR="00A400FD" w:rsidRPr="009D1723" w:rsidRDefault="00F0743D" w:rsidP="00A400FD">
            <w:pPr>
              <w:tabs>
                <w:tab w:val="left" w:pos="567"/>
                <w:tab w:val="left" w:pos="1134"/>
              </w:tabs>
              <w:spacing w:after="0"/>
              <w:jc w:val="center"/>
              <w:rPr>
                <w:rFonts w:cs="Arial"/>
                <w:b/>
              </w:rPr>
            </w:pPr>
            <w:r w:rsidRPr="009D1723">
              <w:rPr>
                <w:rFonts w:cs="Arial"/>
                <w:b/>
              </w:rPr>
              <w:t>Total</w:t>
            </w:r>
          </w:p>
          <w:p w:rsidR="00A400FD" w:rsidRPr="009D1723" w:rsidRDefault="00F0743D" w:rsidP="00A400FD">
            <w:pPr>
              <w:tabs>
                <w:tab w:val="left" w:pos="567"/>
                <w:tab w:val="left" w:pos="1134"/>
              </w:tabs>
              <w:spacing w:after="0"/>
              <w:jc w:val="center"/>
              <w:rPr>
                <w:rFonts w:cs="Arial"/>
                <w:b/>
              </w:rPr>
            </w:pPr>
            <w:r w:rsidRPr="009D1723">
              <w:rPr>
                <w:rFonts w:cs="Arial"/>
                <w:b/>
              </w:rPr>
              <w:t>£m</w:t>
            </w:r>
          </w:p>
        </w:tc>
      </w:tr>
      <w:tr w:rsidR="00C54E82" w:rsidTr="00A400FD">
        <w:trPr>
          <w:trHeight w:val="692"/>
          <w:jc w:val="center"/>
        </w:trPr>
        <w:tc>
          <w:tcPr>
            <w:tcW w:w="0" w:type="auto"/>
            <w:vAlign w:val="center"/>
          </w:tcPr>
          <w:p w:rsidR="00A400FD" w:rsidRPr="009D1723" w:rsidRDefault="00F0743D" w:rsidP="00A400FD">
            <w:pPr>
              <w:tabs>
                <w:tab w:val="left" w:pos="567"/>
                <w:tab w:val="left" w:pos="1134"/>
              </w:tabs>
              <w:spacing w:after="0"/>
              <w:jc w:val="left"/>
              <w:rPr>
                <w:rFonts w:cs="Arial"/>
              </w:rPr>
            </w:pPr>
            <w:r>
              <w:rPr>
                <w:rFonts w:cs="Arial"/>
              </w:rPr>
              <w:t>Adults Services</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15.060</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16.360</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12.380</w:t>
            </w:r>
          </w:p>
        </w:tc>
        <w:tc>
          <w:tcPr>
            <w:tcW w:w="1196" w:type="dxa"/>
            <w:vAlign w:val="center"/>
          </w:tcPr>
          <w:p w:rsidR="00A400FD" w:rsidRPr="00565EC1" w:rsidRDefault="00F0743D" w:rsidP="00A400FD">
            <w:pPr>
              <w:tabs>
                <w:tab w:val="left" w:pos="567"/>
                <w:tab w:val="left" w:pos="1134"/>
              </w:tabs>
              <w:spacing w:after="0"/>
              <w:jc w:val="right"/>
              <w:rPr>
                <w:rFonts w:cs="Arial"/>
              </w:rPr>
            </w:pPr>
            <w:r>
              <w:rPr>
                <w:rFonts w:cs="Arial"/>
              </w:rPr>
              <w:t>13.147</w:t>
            </w:r>
          </w:p>
        </w:tc>
        <w:tc>
          <w:tcPr>
            <w:tcW w:w="1085" w:type="dxa"/>
            <w:vAlign w:val="center"/>
          </w:tcPr>
          <w:p w:rsidR="00A400FD" w:rsidRPr="00565EC1" w:rsidRDefault="00F0743D" w:rsidP="00A400FD">
            <w:pPr>
              <w:tabs>
                <w:tab w:val="left" w:pos="567"/>
                <w:tab w:val="left" w:pos="1134"/>
              </w:tabs>
              <w:spacing w:after="0"/>
              <w:jc w:val="right"/>
              <w:rPr>
                <w:rFonts w:cs="Arial"/>
                <w:b/>
              </w:rPr>
            </w:pPr>
            <w:r>
              <w:rPr>
                <w:rFonts w:cs="Arial"/>
                <w:b/>
              </w:rPr>
              <w:t>56.947</w:t>
            </w:r>
          </w:p>
        </w:tc>
      </w:tr>
      <w:tr w:rsidR="00C54E82" w:rsidTr="00A400FD">
        <w:trPr>
          <w:trHeight w:val="692"/>
          <w:jc w:val="center"/>
        </w:trPr>
        <w:tc>
          <w:tcPr>
            <w:tcW w:w="0" w:type="auto"/>
            <w:vAlign w:val="center"/>
          </w:tcPr>
          <w:p w:rsidR="00A400FD" w:rsidRPr="009D1723" w:rsidRDefault="00F0743D" w:rsidP="00A400FD">
            <w:pPr>
              <w:tabs>
                <w:tab w:val="left" w:pos="567"/>
                <w:tab w:val="left" w:pos="1134"/>
              </w:tabs>
              <w:spacing w:after="0"/>
              <w:jc w:val="left"/>
              <w:rPr>
                <w:rFonts w:cs="Arial"/>
              </w:rPr>
            </w:pPr>
            <w:r>
              <w:rPr>
                <w:rFonts w:cs="Arial"/>
              </w:rPr>
              <w:t>Children's Services</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1.296</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1.221</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1.237</w:t>
            </w:r>
          </w:p>
        </w:tc>
        <w:tc>
          <w:tcPr>
            <w:tcW w:w="1196" w:type="dxa"/>
            <w:vAlign w:val="center"/>
          </w:tcPr>
          <w:p w:rsidR="00A400FD" w:rsidRPr="00565EC1" w:rsidRDefault="00F0743D" w:rsidP="00A400FD">
            <w:pPr>
              <w:tabs>
                <w:tab w:val="left" w:pos="567"/>
                <w:tab w:val="left" w:pos="1134"/>
              </w:tabs>
              <w:spacing w:after="0"/>
              <w:jc w:val="right"/>
              <w:rPr>
                <w:rFonts w:cs="Arial"/>
              </w:rPr>
            </w:pPr>
            <w:r>
              <w:rPr>
                <w:rFonts w:cs="Arial"/>
              </w:rPr>
              <w:t>1.698</w:t>
            </w:r>
          </w:p>
        </w:tc>
        <w:tc>
          <w:tcPr>
            <w:tcW w:w="1085" w:type="dxa"/>
            <w:vAlign w:val="center"/>
          </w:tcPr>
          <w:p w:rsidR="00A400FD" w:rsidRPr="00565EC1" w:rsidRDefault="00F0743D" w:rsidP="00A400FD">
            <w:pPr>
              <w:tabs>
                <w:tab w:val="left" w:pos="567"/>
                <w:tab w:val="left" w:pos="1134"/>
              </w:tabs>
              <w:spacing w:after="0"/>
              <w:jc w:val="right"/>
              <w:rPr>
                <w:rFonts w:cs="Arial"/>
                <w:b/>
              </w:rPr>
            </w:pPr>
            <w:r>
              <w:rPr>
                <w:rFonts w:cs="Arial"/>
                <w:b/>
              </w:rPr>
              <w:t>5.452</w:t>
            </w:r>
          </w:p>
        </w:tc>
      </w:tr>
      <w:tr w:rsidR="00C54E82" w:rsidTr="00A400FD">
        <w:trPr>
          <w:trHeight w:val="692"/>
          <w:jc w:val="center"/>
        </w:trPr>
        <w:tc>
          <w:tcPr>
            <w:tcW w:w="0" w:type="auto"/>
            <w:vAlign w:val="center"/>
          </w:tcPr>
          <w:p w:rsidR="00A400FD" w:rsidRPr="009D1723" w:rsidRDefault="00F0743D" w:rsidP="00A400FD">
            <w:pPr>
              <w:tabs>
                <w:tab w:val="left" w:pos="567"/>
                <w:tab w:val="left" w:pos="1134"/>
              </w:tabs>
              <w:spacing w:after="0"/>
              <w:jc w:val="left"/>
              <w:rPr>
                <w:rFonts w:cs="Arial"/>
              </w:rPr>
            </w:pPr>
            <w:r>
              <w:rPr>
                <w:rFonts w:cs="Arial"/>
              </w:rPr>
              <w:t xml:space="preserve">Waste Services </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0.177</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2.353</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3.215</w:t>
            </w:r>
          </w:p>
        </w:tc>
        <w:tc>
          <w:tcPr>
            <w:tcW w:w="1196" w:type="dxa"/>
            <w:vAlign w:val="center"/>
          </w:tcPr>
          <w:p w:rsidR="00A400FD" w:rsidRPr="00565EC1" w:rsidRDefault="00F0743D" w:rsidP="00A400FD">
            <w:pPr>
              <w:tabs>
                <w:tab w:val="left" w:pos="567"/>
                <w:tab w:val="left" w:pos="1134"/>
              </w:tabs>
              <w:spacing w:after="0"/>
              <w:jc w:val="right"/>
              <w:rPr>
                <w:rFonts w:cs="Arial"/>
              </w:rPr>
            </w:pPr>
            <w:r>
              <w:rPr>
                <w:rFonts w:cs="Arial"/>
              </w:rPr>
              <w:t>3.295</w:t>
            </w:r>
          </w:p>
        </w:tc>
        <w:tc>
          <w:tcPr>
            <w:tcW w:w="1085" w:type="dxa"/>
            <w:vAlign w:val="center"/>
          </w:tcPr>
          <w:p w:rsidR="00A400FD" w:rsidRPr="00565EC1" w:rsidRDefault="00F0743D" w:rsidP="00A400FD">
            <w:pPr>
              <w:tabs>
                <w:tab w:val="left" w:pos="567"/>
                <w:tab w:val="left" w:pos="1134"/>
              </w:tabs>
              <w:spacing w:after="0"/>
              <w:jc w:val="right"/>
              <w:rPr>
                <w:rFonts w:cs="Arial"/>
                <w:b/>
              </w:rPr>
            </w:pPr>
            <w:r>
              <w:rPr>
                <w:rFonts w:cs="Arial"/>
                <w:b/>
              </w:rPr>
              <w:t>9.040</w:t>
            </w:r>
          </w:p>
        </w:tc>
      </w:tr>
      <w:tr w:rsidR="00C54E82" w:rsidTr="00A400FD">
        <w:trPr>
          <w:trHeight w:val="692"/>
          <w:jc w:val="center"/>
        </w:trPr>
        <w:tc>
          <w:tcPr>
            <w:tcW w:w="0" w:type="auto"/>
            <w:vAlign w:val="center"/>
          </w:tcPr>
          <w:p w:rsidR="00A400FD" w:rsidRDefault="00F0743D" w:rsidP="00A400FD">
            <w:pPr>
              <w:tabs>
                <w:tab w:val="left" w:pos="567"/>
                <w:tab w:val="left" w:pos="1134"/>
              </w:tabs>
              <w:spacing w:after="0"/>
              <w:jc w:val="left"/>
              <w:rPr>
                <w:rFonts w:cs="Arial"/>
              </w:rPr>
            </w:pPr>
            <w:r>
              <w:rPr>
                <w:rFonts w:cs="Arial"/>
              </w:rPr>
              <w:t>Other Services</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3.592</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2.793</w:t>
            </w:r>
          </w:p>
        </w:tc>
        <w:tc>
          <w:tcPr>
            <w:tcW w:w="0" w:type="auto"/>
            <w:vAlign w:val="center"/>
          </w:tcPr>
          <w:p w:rsidR="00A400FD" w:rsidRPr="00565EC1" w:rsidRDefault="00F0743D" w:rsidP="00A400FD">
            <w:pPr>
              <w:tabs>
                <w:tab w:val="left" w:pos="567"/>
                <w:tab w:val="left" w:pos="1134"/>
              </w:tabs>
              <w:spacing w:after="0"/>
              <w:jc w:val="right"/>
              <w:rPr>
                <w:rFonts w:cs="Arial"/>
              </w:rPr>
            </w:pPr>
            <w:r>
              <w:rPr>
                <w:rFonts w:cs="Arial"/>
              </w:rPr>
              <w:t>2.546</w:t>
            </w:r>
          </w:p>
        </w:tc>
        <w:tc>
          <w:tcPr>
            <w:tcW w:w="1196" w:type="dxa"/>
            <w:vAlign w:val="center"/>
          </w:tcPr>
          <w:p w:rsidR="00A400FD" w:rsidRPr="00565EC1" w:rsidRDefault="00F0743D" w:rsidP="00A400FD">
            <w:pPr>
              <w:tabs>
                <w:tab w:val="left" w:pos="567"/>
                <w:tab w:val="left" w:pos="1134"/>
              </w:tabs>
              <w:spacing w:after="0"/>
              <w:jc w:val="right"/>
              <w:rPr>
                <w:rFonts w:cs="Arial"/>
              </w:rPr>
            </w:pPr>
            <w:r>
              <w:rPr>
                <w:rFonts w:cs="Arial"/>
              </w:rPr>
              <w:t>2.297</w:t>
            </w:r>
          </w:p>
        </w:tc>
        <w:tc>
          <w:tcPr>
            <w:tcW w:w="1085" w:type="dxa"/>
            <w:vAlign w:val="center"/>
          </w:tcPr>
          <w:p w:rsidR="00A400FD" w:rsidRPr="00565EC1" w:rsidRDefault="00F0743D" w:rsidP="00A400FD">
            <w:pPr>
              <w:tabs>
                <w:tab w:val="left" w:pos="567"/>
                <w:tab w:val="left" w:pos="1134"/>
              </w:tabs>
              <w:spacing w:after="0"/>
              <w:jc w:val="right"/>
              <w:rPr>
                <w:rFonts w:cs="Arial"/>
                <w:b/>
              </w:rPr>
            </w:pPr>
            <w:r>
              <w:rPr>
                <w:rFonts w:cs="Arial"/>
                <w:b/>
              </w:rPr>
              <w:t>11.228</w:t>
            </w:r>
          </w:p>
        </w:tc>
      </w:tr>
      <w:tr w:rsidR="00C54E82" w:rsidTr="00A400FD">
        <w:tblPrEx>
          <w:jc w:val="left"/>
        </w:tblPrEx>
        <w:trPr>
          <w:trHeight w:val="692"/>
        </w:trPr>
        <w:tc>
          <w:tcPr>
            <w:tcW w:w="0" w:type="auto"/>
            <w:vAlign w:val="center"/>
          </w:tcPr>
          <w:p w:rsidR="00A400FD" w:rsidRPr="00BD28B2" w:rsidRDefault="00F0743D" w:rsidP="00A400FD">
            <w:pPr>
              <w:tabs>
                <w:tab w:val="left" w:pos="567"/>
                <w:tab w:val="left" w:pos="1134"/>
              </w:tabs>
              <w:spacing w:after="0"/>
              <w:jc w:val="left"/>
              <w:rPr>
                <w:rFonts w:cs="Arial"/>
                <w:b/>
              </w:rPr>
            </w:pPr>
            <w:r w:rsidRPr="00BD28B2">
              <w:rPr>
                <w:rFonts w:cs="Arial"/>
                <w:b/>
              </w:rPr>
              <w:t>Revised price inflation requirements</w:t>
            </w:r>
          </w:p>
        </w:tc>
        <w:tc>
          <w:tcPr>
            <w:tcW w:w="0" w:type="auto"/>
            <w:vAlign w:val="center"/>
          </w:tcPr>
          <w:p w:rsidR="00A400FD" w:rsidRPr="00BD28B2" w:rsidRDefault="00F0743D" w:rsidP="00A400FD">
            <w:pPr>
              <w:tabs>
                <w:tab w:val="left" w:pos="567"/>
                <w:tab w:val="left" w:pos="1134"/>
              </w:tabs>
              <w:spacing w:after="0"/>
              <w:jc w:val="right"/>
              <w:rPr>
                <w:rFonts w:cs="Arial"/>
                <w:b/>
              </w:rPr>
            </w:pPr>
            <w:r>
              <w:rPr>
                <w:rFonts w:cs="Arial"/>
                <w:b/>
              </w:rPr>
              <w:t>20.125</w:t>
            </w:r>
          </w:p>
        </w:tc>
        <w:tc>
          <w:tcPr>
            <w:tcW w:w="0" w:type="auto"/>
            <w:vAlign w:val="center"/>
          </w:tcPr>
          <w:p w:rsidR="00A400FD" w:rsidRPr="00BD28B2" w:rsidRDefault="00F0743D" w:rsidP="00A400FD">
            <w:pPr>
              <w:tabs>
                <w:tab w:val="left" w:pos="567"/>
                <w:tab w:val="left" w:pos="1134"/>
              </w:tabs>
              <w:spacing w:after="0"/>
              <w:jc w:val="right"/>
              <w:rPr>
                <w:rFonts w:cs="Arial"/>
                <w:b/>
              </w:rPr>
            </w:pPr>
            <w:r w:rsidRPr="00BD28B2">
              <w:rPr>
                <w:rFonts w:cs="Arial"/>
                <w:b/>
              </w:rPr>
              <w:t>22.727</w:t>
            </w:r>
          </w:p>
        </w:tc>
        <w:tc>
          <w:tcPr>
            <w:tcW w:w="0" w:type="auto"/>
            <w:vAlign w:val="center"/>
          </w:tcPr>
          <w:p w:rsidR="00A400FD" w:rsidRPr="00BD28B2" w:rsidRDefault="00F0743D" w:rsidP="00A400FD">
            <w:pPr>
              <w:tabs>
                <w:tab w:val="left" w:pos="567"/>
                <w:tab w:val="left" w:pos="1134"/>
              </w:tabs>
              <w:spacing w:after="0"/>
              <w:jc w:val="right"/>
              <w:rPr>
                <w:rFonts w:cs="Arial"/>
                <w:b/>
              </w:rPr>
            </w:pPr>
            <w:r w:rsidRPr="00BD28B2">
              <w:rPr>
                <w:rFonts w:cs="Arial"/>
                <w:b/>
              </w:rPr>
              <w:t>19.378</w:t>
            </w:r>
          </w:p>
        </w:tc>
        <w:tc>
          <w:tcPr>
            <w:tcW w:w="1196" w:type="dxa"/>
            <w:vAlign w:val="center"/>
          </w:tcPr>
          <w:p w:rsidR="00A400FD" w:rsidRPr="00BD28B2" w:rsidRDefault="00F0743D" w:rsidP="00A400FD">
            <w:pPr>
              <w:tabs>
                <w:tab w:val="left" w:pos="567"/>
                <w:tab w:val="left" w:pos="1134"/>
              </w:tabs>
              <w:spacing w:after="0"/>
              <w:jc w:val="right"/>
              <w:rPr>
                <w:rFonts w:cs="Arial"/>
                <w:b/>
              </w:rPr>
            </w:pPr>
            <w:r w:rsidRPr="00BD28B2">
              <w:rPr>
                <w:rFonts w:cs="Arial"/>
                <w:b/>
              </w:rPr>
              <w:t>20.437</w:t>
            </w:r>
          </w:p>
        </w:tc>
        <w:tc>
          <w:tcPr>
            <w:tcW w:w="1085" w:type="dxa"/>
            <w:vAlign w:val="center"/>
          </w:tcPr>
          <w:p w:rsidR="00A400FD" w:rsidRPr="00BD28B2" w:rsidRDefault="00F0743D" w:rsidP="00A400FD">
            <w:pPr>
              <w:tabs>
                <w:tab w:val="left" w:pos="567"/>
                <w:tab w:val="left" w:pos="1134"/>
              </w:tabs>
              <w:spacing w:after="0"/>
              <w:jc w:val="right"/>
              <w:rPr>
                <w:rFonts w:cs="Arial"/>
                <w:b/>
              </w:rPr>
            </w:pPr>
            <w:r w:rsidRPr="00BD28B2">
              <w:rPr>
                <w:rFonts w:cs="Arial"/>
                <w:b/>
              </w:rPr>
              <w:t>82.66</w:t>
            </w:r>
            <w:r>
              <w:rPr>
                <w:rFonts w:cs="Arial"/>
                <w:b/>
              </w:rPr>
              <w:t>7</w:t>
            </w:r>
          </w:p>
        </w:tc>
      </w:tr>
      <w:tr w:rsidR="00C54E82" w:rsidTr="00A400FD">
        <w:trPr>
          <w:trHeight w:val="436"/>
          <w:jc w:val="center"/>
        </w:trPr>
        <w:tc>
          <w:tcPr>
            <w:tcW w:w="0" w:type="auto"/>
            <w:vAlign w:val="center"/>
          </w:tcPr>
          <w:p w:rsidR="00A400FD" w:rsidRPr="009D1723" w:rsidRDefault="007B1E59" w:rsidP="00A400FD">
            <w:pPr>
              <w:tabs>
                <w:tab w:val="left" w:pos="567"/>
                <w:tab w:val="left" w:pos="1134"/>
              </w:tabs>
              <w:spacing w:after="0"/>
              <w:jc w:val="left"/>
              <w:rPr>
                <w:rFonts w:cs="Arial"/>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1196" w:type="dxa"/>
            <w:vAlign w:val="center"/>
          </w:tcPr>
          <w:p w:rsidR="00A400FD" w:rsidRPr="00084CD2" w:rsidRDefault="007B1E59" w:rsidP="00A400FD">
            <w:pPr>
              <w:tabs>
                <w:tab w:val="left" w:pos="567"/>
                <w:tab w:val="left" w:pos="1134"/>
              </w:tabs>
              <w:spacing w:after="0"/>
              <w:jc w:val="right"/>
              <w:rPr>
                <w:rFonts w:cs="Arial"/>
                <w:b/>
                <w:highlight w:val="yellow"/>
              </w:rPr>
            </w:pPr>
          </w:p>
        </w:tc>
        <w:tc>
          <w:tcPr>
            <w:tcW w:w="1085" w:type="dxa"/>
            <w:vAlign w:val="center"/>
          </w:tcPr>
          <w:p w:rsidR="00A400FD" w:rsidRPr="00084CD2" w:rsidRDefault="007B1E59" w:rsidP="00A400FD">
            <w:pPr>
              <w:tabs>
                <w:tab w:val="left" w:pos="567"/>
                <w:tab w:val="left" w:pos="1134"/>
              </w:tabs>
              <w:spacing w:after="0"/>
              <w:jc w:val="right"/>
              <w:rPr>
                <w:rFonts w:cs="Arial"/>
                <w:b/>
                <w:highlight w:val="yellow"/>
              </w:rPr>
            </w:pPr>
          </w:p>
        </w:tc>
      </w:tr>
      <w:tr w:rsidR="00C54E82" w:rsidTr="00A400FD">
        <w:tblPrEx>
          <w:jc w:val="left"/>
        </w:tblPrEx>
        <w:trPr>
          <w:trHeight w:val="692"/>
        </w:trPr>
        <w:tc>
          <w:tcPr>
            <w:tcW w:w="0" w:type="auto"/>
            <w:vAlign w:val="center"/>
          </w:tcPr>
          <w:p w:rsidR="00A400FD" w:rsidRPr="009D1723" w:rsidRDefault="00F0743D" w:rsidP="00A400FD">
            <w:pPr>
              <w:tabs>
                <w:tab w:val="left" w:pos="567"/>
                <w:tab w:val="left" w:pos="1134"/>
              </w:tabs>
              <w:spacing w:after="0"/>
              <w:jc w:val="left"/>
              <w:rPr>
                <w:rFonts w:cs="Arial"/>
                <w:b/>
              </w:rPr>
            </w:pPr>
            <w:r w:rsidRPr="009D1723">
              <w:rPr>
                <w:rFonts w:cs="Arial"/>
                <w:b/>
              </w:rPr>
              <w:t>Price inflation – previous MTFS</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19.955</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25.822</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21.495</w:t>
            </w:r>
          </w:p>
        </w:tc>
        <w:tc>
          <w:tcPr>
            <w:tcW w:w="1196" w:type="dxa"/>
            <w:vAlign w:val="center"/>
          </w:tcPr>
          <w:p w:rsidR="00A400FD" w:rsidRPr="00A46118" w:rsidRDefault="00F0743D" w:rsidP="00A400FD">
            <w:pPr>
              <w:tabs>
                <w:tab w:val="left" w:pos="567"/>
                <w:tab w:val="left" w:pos="1134"/>
              </w:tabs>
              <w:spacing w:after="0"/>
              <w:jc w:val="right"/>
              <w:rPr>
                <w:rFonts w:cs="Arial"/>
                <w:b/>
              </w:rPr>
            </w:pPr>
            <w:r w:rsidRPr="00A46118">
              <w:rPr>
                <w:rFonts w:cs="Arial"/>
                <w:b/>
              </w:rPr>
              <w:t>0.000</w:t>
            </w:r>
          </w:p>
        </w:tc>
        <w:tc>
          <w:tcPr>
            <w:tcW w:w="1085" w:type="dxa"/>
            <w:vAlign w:val="center"/>
          </w:tcPr>
          <w:p w:rsidR="00A400FD" w:rsidRPr="00565EC1" w:rsidRDefault="00F0743D" w:rsidP="00A400FD">
            <w:pPr>
              <w:tabs>
                <w:tab w:val="left" w:pos="567"/>
                <w:tab w:val="left" w:pos="1134"/>
              </w:tabs>
              <w:spacing w:after="0"/>
              <w:jc w:val="right"/>
              <w:rPr>
                <w:rFonts w:cs="Arial"/>
                <w:b/>
              </w:rPr>
            </w:pPr>
            <w:r>
              <w:rPr>
                <w:rFonts w:cs="Arial"/>
                <w:b/>
              </w:rPr>
              <w:t>67.272</w:t>
            </w:r>
          </w:p>
        </w:tc>
      </w:tr>
      <w:tr w:rsidR="00C54E82" w:rsidTr="00A400FD">
        <w:trPr>
          <w:trHeight w:val="436"/>
          <w:jc w:val="center"/>
        </w:trPr>
        <w:tc>
          <w:tcPr>
            <w:tcW w:w="0" w:type="auto"/>
            <w:vAlign w:val="center"/>
          </w:tcPr>
          <w:p w:rsidR="00A400FD" w:rsidRPr="009D1723" w:rsidRDefault="007B1E59" w:rsidP="00A400FD">
            <w:pPr>
              <w:tabs>
                <w:tab w:val="left" w:pos="567"/>
                <w:tab w:val="left" w:pos="1134"/>
              </w:tabs>
              <w:spacing w:after="0"/>
              <w:jc w:val="left"/>
              <w:rPr>
                <w:rFonts w:cs="Arial"/>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1196" w:type="dxa"/>
            <w:vAlign w:val="center"/>
          </w:tcPr>
          <w:p w:rsidR="00A400FD" w:rsidRPr="00084CD2" w:rsidRDefault="007B1E59" w:rsidP="00A400FD">
            <w:pPr>
              <w:tabs>
                <w:tab w:val="left" w:pos="567"/>
                <w:tab w:val="left" w:pos="1134"/>
              </w:tabs>
              <w:spacing w:after="0"/>
              <w:jc w:val="right"/>
              <w:rPr>
                <w:rFonts w:cs="Arial"/>
                <w:b/>
                <w:highlight w:val="yellow"/>
              </w:rPr>
            </w:pPr>
          </w:p>
        </w:tc>
        <w:tc>
          <w:tcPr>
            <w:tcW w:w="1085" w:type="dxa"/>
            <w:vAlign w:val="center"/>
          </w:tcPr>
          <w:p w:rsidR="00A400FD" w:rsidRPr="00084CD2" w:rsidRDefault="007B1E59" w:rsidP="00A400FD">
            <w:pPr>
              <w:tabs>
                <w:tab w:val="left" w:pos="567"/>
                <w:tab w:val="left" w:pos="1134"/>
              </w:tabs>
              <w:spacing w:after="0"/>
              <w:jc w:val="right"/>
              <w:rPr>
                <w:rFonts w:cs="Arial"/>
                <w:b/>
                <w:highlight w:val="yellow"/>
              </w:rPr>
            </w:pPr>
          </w:p>
        </w:tc>
      </w:tr>
      <w:tr w:rsidR="00C54E82" w:rsidTr="00A400FD">
        <w:trPr>
          <w:trHeight w:val="436"/>
          <w:jc w:val="center"/>
        </w:trPr>
        <w:tc>
          <w:tcPr>
            <w:tcW w:w="0" w:type="auto"/>
            <w:vAlign w:val="center"/>
          </w:tcPr>
          <w:p w:rsidR="00A400FD" w:rsidRPr="009D1723" w:rsidRDefault="00F0743D" w:rsidP="00A400FD">
            <w:pPr>
              <w:tabs>
                <w:tab w:val="left" w:pos="567"/>
                <w:tab w:val="left" w:pos="1134"/>
              </w:tabs>
              <w:spacing w:after="0"/>
              <w:jc w:val="left"/>
              <w:rPr>
                <w:rFonts w:cs="Arial"/>
              </w:rPr>
            </w:pPr>
            <w:r w:rsidRPr="0034227D">
              <w:rPr>
                <w:rFonts w:cs="Arial"/>
                <w:b/>
              </w:rPr>
              <w:t>Impact on Financial Gap</w:t>
            </w:r>
          </w:p>
        </w:tc>
        <w:tc>
          <w:tcPr>
            <w:tcW w:w="0" w:type="auto"/>
            <w:vAlign w:val="center"/>
          </w:tcPr>
          <w:p w:rsidR="00A400FD" w:rsidRPr="00901E50" w:rsidRDefault="00F0743D" w:rsidP="00A400FD">
            <w:pPr>
              <w:tabs>
                <w:tab w:val="left" w:pos="567"/>
                <w:tab w:val="left" w:pos="1134"/>
              </w:tabs>
              <w:spacing w:after="0"/>
              <w:jc w:val="right"/>
              <w:rPr>
                <w:rFonts w:cs="Arial"/>
                <w:b/>
              </w:rPr>
            </w:pPr>
            <w:r>
              <w:rPr>
                <w:rFonts w:cs="Arial"/>
                <w:b/>
              </w:rPr>
              <w:t>0.170</w:t>
            </w:r>
          </w:p>
        </w:tc>
        <w:tc>
          <w:tcPr>
            <w:tcW w:w="0" w:type="auto"/>
            <w:vAlign w:val="center"/>
          </w:tcPr>
          <w:p w:rsidR="00A400FD" w:rsidRPr="00901E50" w:rsidRDefault="00F0743D" w:rsidP="00A400FD">
            <w:pPr>
              <w:tabs>
                <w:tab w:val="left" w:pos="567"/>
                <w:tab w:val="left" w:pos="1134"/>
              </w:tabs>
              <w:spacing w:after="0"/>
              <w:jc w:val="right"/>
              <w:rPr>
                <w:rFonts w:cs="Arial"/>
                <w:b/>
              </w:rPr>
            </w:pPr>
            <w:r>
              <w:rPr>
                <w:rFonts w:cs="Arial"/>
                <w:b/>
              </w:rPr>
              <w:t>-3.094</w:t>
            </w:r>
          </w:p>
        </w:tc>
        <w:tc>
          <w:tcPr>
            <w:tcW w:w="0" w:type="auto"/>
            <w:vAlign w:val="center"/>
          </w:tcPr>
          <w:p w:rsidR="00A400FD" w:rsidRPr="00901E50" w:rsidRDefault="00F0743D" w:rsidP="00A400FD">
            <w:pPr>
              <w:tabs>
                <w:tab w:val="left" w:pos="567"/>
                <w:tab w:val="left" w:pos="1134"/>
              </w:tabs>
              <w:spacing w:after="0"/>
              <w:jc w:val="right"/>
              <w:rPr>
                <w:rFonts w:cs="Arial"/>
                <w:b/>
              </w:rPr>
            </w:pPr>
            <w:r>
              <w:rPr>
                <w:rFonts w:cs="Arial"/>
                <w:b/>
              </w:rPr>
              <w:t>-2.117</w:t>
            </w:r>
          </w:p>
        </w:tc>
        <w:tc>
          <w:tcPr>
            <w:tcW w:w="1196" w:type="dxa"/>
            <w:vAlign w:val="center"/>
          </w:tcPr>
          <w:p w:rsidR="00A400FD" w:rsidRPr="00901E50" w:rsidRDefault="00F0743D" w:rsidP="00A400FD">
            <w:pPr>
              <w:tabs>
                <w:tab w:val="left" w:pos="567"/>
                <w:tab w:val="left" w:pos="1134"/>
              </w:tabs>
              <w:spacing w:after="0"/>
              <w:jc w:val="right"/>
              <w:rPr>
                <w:rFonts w:cs="Arial"/>
                <w:b/>
              </w:rPr>
            </w:pPr>
            <w:r>
              <w:rPr>
                <w:rFonts w:cs="Arial"/>
                <w:b/>
              </w:rPr>
              <w:t>20.437</w:t>
            </w:r>
          </w:p>
        </w:tc>
        <w:tc>
          <w:tcPr>
            <w:tcW w:w="1085" w:type="dxa"/>
            <w:vAlign w:val="center"/>
          </w:tcPr>
          <w:p w:rsidR="00A400FD" w:rsidRPr="00901E50" w:rsidRDefault="00F0743D" w:rsidP="00A400FD">
            <w:pPr>
              <w:tabs>
                <w:tab w:val="left" w:pos="567"/>
                <w:tab w:val="left" w:pos="1134"/>
              </w:tabs>
              <w:spacing w:after="0"/>
              <w:jc w:val="right"/>
              <w:rPr>
                <w:rFonts w:cs="Arial"/>
                <w:b/>
              </w:rPr>
            </w:pPr>
            <w:r>
              <w:rPr>
                <w:rFonts w:cs="Arial"/>
                <w:b/>
              </w:rPr>
              <w:t>15.396</w:t>
            </w:r>
          </w:p>
        </w:tc>
      </w:tr>
    </w:tbl>
    <w:p w:rsidR="00A400FD" w:rsidRDefault="007B1E59" w:rsidP="00A400FD">
      <w:pPr>
        <w:spacing w:after="0"/>
        <w:rPr>
          <w:rFonts w:cs="Arial"/>
        </w:rPr>
      </w:pPr>
    </w:p>
    <w:p w:rsidR="00A400FD" w:rsidRPr="00882976" w:rsidRDefault="00F0743D" w:rsidP="00A400FD">
      <w:pPr>
        <w:spacing w:after="0"/>
        <w:rPr>
          <w:rFonts w:cs="Arial"/>
        </w:rPr>
      </w:pPr>
      <w:r w:rsidRPr="00882976">
        <w:rPr>
          <w:rFonts w:cs="Arial"/>
        </w:rPr>
        <w:t>Some of the key areas of price pressure are:</w:t>
      </w:r>
    </w:p>
    <w:p w:rsidR="00A400FD" w:rsidRPr="00882976" w:rsidRDefault="007B1E59" w:rsidP="00A400FD">
      <w:pPr>
        <w:spacing w:after="0"/>
        <w:rPr>
          <w:rFonts w:cs="Arial"/>
        </w:rPr>
      </w:pPr>
    </w:p>
    <w:p w:rsidR="00A400FD" w:rsidRDefault="00F0743D" w:rsidP="00A400FD">
      <w:pPr>
        <w:pStyle w:val="ListParagraph"/>
        <w:numPr>
          <w:ilvl w:val="0"/>
          <w:numId w:val="29"/>
        </w:numPr>
        <w:spacing w:after="0"/>
        <w:rPr>
          <w:rFonts w:cs="Arial"/>
        </w:rPr>
      </w:pPr>
      <w:r>
        <w:rPr>
          <w:rFonts w:cs="Arial"/>
        </w:rPr>
        <w:t>Adults services represents the most significant inflationary price pressure and forecast increases are based on future increases in fees paid being at 2018/19 levels.  I</w:t>
      </w:r>
      <w:r w:rsidRPr="00882976">
        <w:rPr>
          <w:rFonts w:cs="Arial"/>
        </w:rPr>
        <w:t xml:space="preserve">t is important that the </w:t>
      </w:r>
      <w:r>
        <w:rPr>
          <w:rFonts w:cs="Arial"/>
        </w:rPr>
        <w:t>c</w:t>
      </w:r>
      <w:r w:rsidRPr="00882976">
        <w:rPr>
          <w:rFonts w:cs="Arial"/>
        </w:rPr>
        <w:t xml:space="preserve">ounty </w:t>
      </w:r>
      <w:r>
        <w:rPr>
          <w:rFonts w:cs="Arial"/>
        </w:rPr>
        <w:t>c</w:t>
      </w:r>
      <w:r w:rsidRPr="00882976">
        <w:rPr>
          <w:rFonts w:cs="Arial"/>
        </w:rPr>
        <w:t xml:space="preserve">ouncil keeps up with increases in the price of resources for </w:t>
      </w:r>
      <w:r>
        <w:rPr>
          <w:rFonts w:cs="Arial"/>
        </w:rPr>
        <w:t>providers</w:t>
      </w:r>
      <w:r w:rsidRPr="00882976">
        <w:rPr>
          <w:rFonts w:cs="Arial"/>
        </w:rPr>
        <w:t xml:space="preserve"> to ensure the required service provision is delivered</w:t>
      </w:r>
      <w:r>
        <w:rPr>
          <w:rFonts w:cs="Arial"/>
        </w:rPr>
        <w:t xml:space="preserve"> within a stable market</w:t>
      </w:r>
      <w:r w:rsidRPr="00882976">
        <w:rPr>
          <w:rFonts w:cs="Arial"/>
        </w:rPr>
        <w:t xml:space="preserve">. </w:t>
      </w:r>
    </w:p>
    <w:p w:rsidR="00A400FD" w:rsidRPr="00882976" w:rsidRDefault="007B1E59" w:rsidP="00A400FD">
      <w:pPr>
        <w:pStyle w:val="ListParagraph"/>
        <w:spacing w:after="0"/>
        <w:rPr>
          <w:rFonts w:cs="Arial"/>
        </w:rPr>
      </w:pPr>
    </w:p>
    <w:p w:rsidR="00A400FD" w:rsidRPr="00882976" w:rsidRDefault="00F0743D" w:rsidP="00A400FD">
      <w:pPr>
        <w:pStyle w:val="ListParagraph"/>
        <w:spacing w:after="0"/>
        <w:rPr>
          <w:rFonts w:cs="Arial"/>
        </w:rPr>
      </w:pPr>
      <w:r w:rsidRPr="00882976">
        <w:rPr>
          <w:rFonts w:cs="Arial"/>
        </w:rPr>
        <w:t>The</w:t>
      </w:r>
      <w:r>
        <w:rPr>
          <w:rFonts w:cs="Arial"/>
        </w:rPr>
        <w:t xml:space="preserve"> revised</w:t>
      </w:r>
      <w:r w:rsidRPr="00882976">
        <w:rPr>
          <w:rFonts w:cs="Arial"/>
        </w:rPr>
        <w:t xml:space="preserve"> inflationary pressures included in this MTFS </w:t>
      </w:r>
      <w:r>
        <w:rPr>
          <w:rFonts w:cs="Arial"/>
        </w:rPr>
        <w:t>for adults services reflects a decrease</w:t>
      </w:r>
      <w:r w:rsidRPr="00882976">
        <w:rPr>
          <w:rFonts w:cs="Arial"/>
        </w:rPr>
        <w:t xml:space="preserve"> of £</w:t>
      </w:r>
      <w:r>
        <w:rPr>
          <w:rFonts w:cs="Arial"/>
        </w:rPr>
        <w:t>4.599</w:t>
      </w:r>
      <w:r w:rsidRPr="00882976">
        <w:rPr>
          <w:rFonts w:cs="Arial"/>
        </w:rPr>
        <w:t xml:space="preserve">m </w:t>
      </w:r>
      <w:r>
        <w:rPr>
          <w:rFonts w:cs="Arial"/>
        </w:rPr>
        <w:t>when comparing the 3 years (2018/19 – 2020/21). This is based on the 2017/18 outturn position, and a review of those areas that do not require an inflationary uplift but which have previously been uplifted within the MTFS.  The table also reflects an additional year's price inflation to reflect the inclusion of an additional year within the MTFS of £13.147m</w:t>
      </w:r>
      <w:r w:rsidRPr="00882976">
        <w:rPr>
          <w:rFonts w:cs="Arial"/>
        </w:rPr>
        <w:t xml:space="preserve">. </w:t>
      </w:r>
    </w:p>
    <w:p w:rsidR="00A400FD" w:rsidRPr="00882976" w:rsidRDefault="007B1E59" w:rsidP="00A400FD">
      <w:pPr>
        <w:spacing w:after="0"/>
        <w:rPr>
          <w:rFonts w:cs="Arial"/>
        </w:rPr>
      </w:pPr>
    </w:p>
    <w:p w:rsidR="00A400FD" w:rsidRDefault="00F0743D" w:rsidP="00A400FD">
      <w:pPr>
        <w:pStyle w:val="ListParagraph"/>
        <w:numPr>
          <w:ilvl w:val="0"/>
          <w:numId w:val="27"/>
        </w:numPr>
        <w:spacing w:after="0"/>
        <w:rPr>
          <w:rFonts w:cs="Arial"/>
        </w:rPr>
      </w:pPr>
      <w:r w:rsidRPr="00296C48">
        <w:rPr>
          <w:rFonts w:cs="Arial"/>
        </w:rPr>
        <w:t xml:space="preserve">Waste </w:t>
      </w:r>
      <w:r>
        <w:rPr>
          <w:rFonts w:cs="Arial"/>
        </w:rPr>
        <w:t>d</w:t>
      </w:r>
      <w:r w:rsidRPr="00296C48">
        <w:rPr>
          <w:rFonts w:cs="Arial"/>
        </w:rPr>
        <w:t>isposal continues to require significant budget to meet inflationary commitments over the next four years</w:t>
      </w:r>
      <w:r>
        <w:rPr>
          <w:rFonts w:cs="Arial"/>
        </w:rPr>
        <w:t xml:space="preserve">. </w:t>
      </w:r>
      <w:r w:rsidRPr="00296C48">
        <w:rPr>
          <w:rFonts w:cs="Arial"/>
        </w:rPr>
        <w:t xml:space="preserve">This requirement has </w:t>
      </w:r>
      <w:r>
        <w:rPr>
          <w:rFonts w:cs="Arial"/>
        </w:rPr>
        <w:t>increased</w:t>
      </w:r>
      <w:r w:rsidRPr="00296C48">
        <w:rPr>
          <w:rFonts w:cs="Arial"/>
        </w:rPr>
        <w:t xml:space="preserve"> by £</w:t>
      </w:r>
      <w:r>
        <w:rPr>
          <w:rFonts w:cs="Arial"/>
        </w:rPr>
        <w:t>1.877</w:t>
      </w:r>
      <w:r w:rsidRPr="00296C48">
        <w:rPr>
          <w:rFonts w:cs="Arial"/>
        </w:rPr>
        <w:t xml:space="preserve">m </w:t>
      </w:r>
      <w:r>
        <w:rPr>
          <w:rFonts w:cs="Arial"/>
        </w:rPr>
        <w:t>due to transport costs</w:t>
      </w:r>
      <w:r w:rsidRPr="00296C48">
        <w:rPr>
          <w:rFonts w:cs="Arial"/>
        </w:rPr>
        <w:t xml:space="preserve">, and a new full year </w:t>
      </w:r>
      <w:r>
        <w:rPr>
          <w:rFonts w:cs="Arial"/>
        </w:rPr>
        <w:t>cost of £3.295</w:t>
      </w:r>
      <w:r w:rsidRPr="00296C48">
        <w:rPr>
          <w:rFonts w:cs="Arial"/>
        </w:rPr>
        <w:t>m for 202</w:t>
      </w:r>
      <w:r>
        <w:rPr>
          <w:rFonts w:cs="Arial"/>
        </w:rPr>
        <w:t>2/23</w:t>
      </w:r>
      <w:r w:rsidRPr="00296C48">
        <w:rPr>
          <w:rFonts w:cs="Arial"/>
        </w:rPr>
        <w:t xml:space="preserve">. </w:t>
      </w:r>
    </w:p>
    <w:p w:rsidR="00A400FD" w:rsidRPr="00296C48" w:rsidRDefault="007B1E59" w:rsidP="00A400FD">
      <w:pPr>
        <w:pStyle w:val="ListParagraph"/>
        <w:spacing w:after="0"/>
        <w:rPr>
          <w:rFonts w:cs="Arial"/>
        </w:rPr>
      </w:pPr>
    </w:p>
    <w:p w:rsidR="00A400FD" w:rsidRDefault="00F0743D" w:rsidP="00A400FD">
      <w:pPr>
        <w:pStyle w:val="ListParagraph"/>
        <w:numPr>
          <w:ilvl w:val="0"/>
          <w:numId w:val="27"/>
        </w:numPr>
        <w:spacing w:after="0"/>
        <w:rPr>
          <w:rFonts w:cs="Arial"/>
        </w:rPr>
      </w:pPr>
      <w:r>
        <w:rPr>
          <w:rFonts w:cs="Arial"/>
        </w:rPr>
        <w:t>Children's s</w:t>
      </w:r>
      <w:r w:rsidRPr="00882976">
        <w:rPr>
          <w:rFonts w:cs="Arial"/>
        </w:rPr>
        <w:t xml:space="preserve">ocial </w:t>
      </w:r>
      <w:r>
        <w:rPr>
          <w:rFonts w:cs="Arial"/>
        </w:rPr>
        <w:t>c</w:t>
      </w:r>
      <w:r w:rsidRPr="00882976">
        <w:rPr>
          <w:rFonts w:cs="Arial"/>
        </w:rPr>
        <w:t xml:space="preserve">are is </w:t>
      </w:r>
      <w:r>
        <w:rPr>
          <w:rFonts w:cs="Arial"/>
        </w:rPr>
        <w:t>a further significant area that requires</w:t>
      </w:r>
      <w:r w:rsidRPr="00882976">
        <w:rPr>
          <w:rFonts w:cs="Arial"/>
        </w:rPr>
        <w:t xml:space="preserve"> price inflation within its budget.</w:t>
      </w:r>
      <w:r>
        <w:rPr>
          <w:rFonts w:cs="Arial"/>
        </w:rPr>
        <w:t xml:space="preserve"> This includes</w:t>
      </w:r>
      <w:r w:rsidRPr="00882976">
        <w:rPr>
          <w:rFonts w:cs="Arial"/>
        </w:rPr>
        <w:t xml:space="preserve"> items that will inflate such as agency payments, residence orders, foster and other al</w:t>
      </w:r>
      <w:r>
        <w:rPr>
          <w:rFonts w:cs="Arial"/>
        </w:rPr>
        <w:t xml:space="preserve">lowances and payments to the health sector.  </w:t>
      </w:r>
      <w:r w:rsidRPr="00296C48">
        <w:rPr>
          <w:rFonts w:cs="Arial"/>
        </w:rPr>
        <w:t xml:space="preserve">This requirement has reduced by </w:t>
      </w:r>
      <w:r>
        <w:rPr>
          <w:rFonts w:cs="Arial"/>
        </w:rPr>
        <w:t>£0.202</w:t>
      </w:r>
      <w:r w:rsidRPr="00296C48">
        <w:rPr>
          <w:rFonts w:cs="Arial"/>
        </w:rPr>
        <w:t>m and a new full year cost of £</w:t>
      </w:r>
      <w:r>
        <w:rPr>
          <w:rFonts w:cs="Arial"/>
        </w:rPr>
        <w:t>1.698</w:t>
      </w:r>
      <w:r w:rsidRPr="00296C48">
        <w:rPr>
          <w:rFonts w:cs="Arial"/>
        </w:rPr>
        <w:t>m for 202</w:t>
      </w:r>
      <w:r>
        <w:rPr>
          <w:rFonts w:cs="Arial"/>
        </w:rPr>
        <w:t>2</w:t>
      </w:r>
      <w:r w:rsidRPr="00296C48">
        <w:rPr>
          <w:rFonts w:cs="Arial"/>
        </w:rPr>
        <w:t>/2</w:t>
      </w:r>
      <w:r>
        <w:rPr>
          <w:rFonts w:cs="Arial"/>
        </w:rPr>
        <w:t>3</w:t>
      </w:r>
      <w:r w:rsidRPr="00296C48">
        <w:rPr>
          <w:rFonts w:cs="Arial"/>
        </w:rPr>
        <w:t xml:space="preserve">. </w:t>
      </w:r>
    </w:p>
    <w:p w:rsidR="00A400FD" w:rsidRPr="007E6B27" w:rsidRDefault="007B1E59" w:rsidP="00A400FD">
      <w:pPr>
        <w:spacing w:after="0"/>
        <w:rPr>
          <w:rFonts w:cs="Arial"/>
        </w:rPr>
      </w:pPr>
    </w:p>
    <w:p w:rsidR="00A400FD" w:rsidRPr="009C3A54" w:rsidRDefault="00F0743D" w:rsidP="00A400FD">
      <w:pPr>
        <w:pStyle w:val="ListParagraph"/>
        <w:numPr>
          <w:ilvl w:val="0"/>
          <w:numId w:val="27"/>
        </w:numPr>
        <w:autoSpaceDE/>
        <w:autoSpaceDN/>
        <w:adjustRightInd/>
        <w:spacing w:after="0"/>
        <w:rPr>
          <w:rFonts w:cs="Arial"/>
        </w:rPr>
      </w:pPr>
      <w:r w:rsidRPr="00882976">
        <w:rPr>
          <w:rFonts w:cs="Arial"/>
        </w:rPr>
        <w:t xml:space="preserve">Other </w:t>
      </w:r>
      <w:r>
        <w:rPr>
          <w:rFonts w:cs="Arial"/>
        </w:rPr>
        <w:t xml:space="preserve">smaller </w:t>
      </w:r>
      <w:r w:rsidRPr="00882976">
        <w:rPr>
          <w:rFonts w:cs="Arial"/>
        </w:rPr>
        <w:t xml:space="preserve">areas of price inflation include </w:t>
      </w:r>
      <w:r>
        <w:rPr>
          <w:rFonts w:cs="Arial"/>
        </w:rPr>
        <w:t xml:space="preserve">premises running costs, </w:t>
      </w:r>
      <w:r w:rsidRPr="00882976">
        <w:rPr>
          <w:rFonts w:cs="Arial"/>
        </w:rPr>
        <w:t xml:space="preserve">transport costs, concessionary travel, highways, winter maintenance, energy and legal fees. </w:t>
      </w:r>
    </w:p>
    <w:p w:rsidR="00A400FD" w:rsidRPr="00084CD2" w:rsidRDefault="007B1E59" w:rsidP="00A400FD">
      <w:pPr>
        <w:autoSpaceDE/>
        <w:autoSpaceDN/>
        <w:adjustRightInd/>
        <w:spacing w:after="0"/>
        <w:jc w:val="left"/>
        <w:rPr>
          <w:rFonts w:cs="Arial"/>
          <w:b/>
          <w:highlight w:val="yellow"/>
        </w:rPr>
      </w:pPr>
    </w:p>
    <w:p w:rsidR="00A400FD" w:rsidRPr="00BC42B6" w:rsidRDefault="00F0743D" w:rsidP="00A400FD">
      <w:pPr>
        <w:tabs>
          <w:tab w:val="left" w:pos="567"/>
          <w:tab w:val="left" w:pos="1134"/>
        </w:tabs>
        <w:spacing w:after="0"/>
        <w:rPr>
          <w:rFonts w:cs="Arial"/>
          <w:b/>
        </w:rPr>
      </w:pPr>
      <w:r w:rsidRPr="00BC42B6">
        <w:rPr>
          <w:rFonts w:cs="Arial"/>
          <w:b/>
        </w:rPr>
        <w:t>3.3</w:t>
      </w:r>
      <w:r w:rsidRPr="00BC42B6">
        <w:rPr>
          <w:rFonts w:cs="Arial"/>
          <w:b/>
        </w:rPr>
        <w:tab/>
        <w:t>Demand Pressures</w:t>
      </w:r>
    </w:p>
    <w:p w:rsidR="00A400FD" w:rsidRPr="00084CD2" w:rsidRDefault="007B1E59" w:rsidP="00A400FD">
      <w:pPr>
        <w:tabs>
          <w:tab w:val="left" w:pos="567"/>
          <w:tab w:val="left" w:pos="1134"/>
        </w:tabs>
        <w:spacing w:after="0"/>
        <w:rPr>
          <w:rFonts w:cs="Arial"/>
          <w:b/>
          <w:highlight w:val="yellow"/>
        </w:rPr>
      </w:pPr>
    </w:p>
    <w:p w:rsidR="00A400FD" w:rsidRDefault="00F0743D" w:rsidP="00A400FD">
      <w:pPr>
        <w:tabs>
          <w:tab w:val="left" w:pos="567"/>
          <w:tab w:val="left" w:pos="1134"/>
        </w:tabs>
        <w:spacing w:after="0"/>
        <w:rPr>
          <w:rFonts w:cs="Arial"/>
        </w:rPr>
      </w:pPr>
      <w:r w:rsidRPr="00904C0C">
        <w:rPr>
          <w:rFonts w:cs="Arial"/>
        </w:rPr>
        <w:t>All services have reviewed the demand pressures they face in future years</w:t>
      </w:r>
      <w:r>
        <w:rPr>
          <w:rFonts w:cs="Arial"/>
        </w:rPr>
        <w:t xml:space="preserve"> and</w:t>
      </w:r>
      <w:r w:rsidRPr="00904C0C">
        <w:rPr>
          <w:rFonts w:cs="Arial"/>
        </w:rPr>
        <w:t xml:space="preserve"> </w:t>
      </w:r>
      <w:r>
        <w:rPr>
          <w:rFonts w:cs="Arial"/>
        </w:rPr>
        <w:t>whilst they have reduced overall increasing demand still remains a significant element of the funding gap. The MTFS at quarter 1 forecasts de</w:t>
      </w:r>
      <w:r w:rsidRPr="00904C0C">
        <w:rPr>
          <w:rFonts w:cs="Arial"/>
        </w:rPr>
        <w:t>crease</w:t>
      </w:r>
      <w:r>
        <w:rPr>
          <w:rFonts w:cs="Arial"/>
        </w:rPr>
        <w:t>d requirement</w:t>
      </w:r>
      <w:r w:rsidRPr="00904C0C">
        <w:rPr>
          <w:rFonts w:cs="Arial"/>
        </w:rPr>
        <w:t xml:space="preserve"> of £</w:t>
      </w:r>
      <w:r>
        <w:rPr>
          <w:rFonts w:cs="Arial"/>
        </w:rPr>
        <w:t>1.345</w:t>
      </w:r>
      <w:r w:rsidRPr="00904C0C">
        <w:rPr>
          <w:rFonts w:cs="Arial"/>
        </w:rPr>
        <w:t>m when comparing those years contained within the previous MTFS, and a new full</w:t>
      </w:r>
      <w:r>
        <w:rPr>
          <w:rFonts w:cs="Arial"/>
        </w:rPr>
        <w:t xml:space="preserve"> year demand pressure of £13.419</w:t>
      </w:r>
      <w:r w:rsidRPr="00904C0C">
        <w:rPr>
          <w:rFonts w:cs="Arial"/>
        </w:rPr>
        <w:t>m for 202</w:t>
      </w:r>
      <w:r>
        <w:rPr>
          <w:rFonts w:cs="Arial"/>
        </w:rPr>
        <w:t>2</w:t>
      </w:r>
      <w:r w:rsidRPr="00904C0C">
        <w:rPr>
          <w:rFonts w:cs="Arial"/>
        </w:rPr>
        <w:t>/2</w:t>
      </w:r>
      <w:r>
        <w:rPr>
          <w:rFonts w:cs="Arial"/>
        </w:rPr>
        <w:t>3</w:t>
      </w:r>
      <w:r w:rsidRPr="00904C0C">
        <w:rPr>
          <w:rFonts w:cs="Arial"/>
        </w:rPr>
        <w:t>.</w:t>
      </w:r>
    </w:p>
    <w:p w:rsidR="00A400FD" w:rsidRDefault="007B1E59" w:rsidP="00A400FD">
      <w:pPr>
        <w:tabs>
          <w:tab w:val="left" w:pos="567"/>
          <w:tab w:val="left" w:pos="1134"/>
        </w:tabs>
        <w:spacing w:after="0"/>
        <w:rPr>
          <w:rFonts w:cs="Arial"/>
        </w:rPr>
      </w:pPr>
    </w:p>
    <w:p w:rsidR="00A400FD" w:rsidRPr="004C48B9" w:rsidRDefault="00F0743D" w:rsidP="00A400FD">
      <w:pPr>
        <w:tabs>
          <w:tab w:val="left" w:pos="567"/>
          <w:tab w:val="left" w:pos="1134"/>
        </w:tabs>
        <w:spacing w:after="0"/>
        <w:rPr>
          <w:rFonts w:cs="Arial"/>
          <w:b/>
          <w:i/>
          <w:u w:val="single"/>
        </w:rPr>
      </w:pPr>
      <w:r w:rsidRPr="004C48B9">
        <w:rPr>
          <w:rFonts w:cs="Arial"/>
          <w:b/>
          <w:i/>
          <w:u w:val="single"/>
        </w:rPr>
        <w:t>Table 6</w:t>
      </w:r>
    </w:p>
    <w:p w:rsidR="00A400FD" w:rsidRPr="00980B4C" w:rsidRDefault="007B1E59" w:rsidP="00A400FD">
      <w:pPr>
        <w:tabs>
          <w:tab w:val="left" w:pos="567"/>
          <w:tab w:val="left" w:pos="1134"/>
        </w:tabs>
        <w:spacing w:after="0"/>
        <w:rPr>
          <w:rFonts w:cs="Arial"/>
        </w:rPr>
      </w:pPr>
    </w:p>
    <w:tbl>
      <w:tblPr>
        <w:tblStyle w:val="TableGrid"/>
        <w:tblW w:w="7932" w:type="dxa"/>
        <w:jc w:val="center"/>
        <w:tblLook w:val="04A0" w:firstRow="1" w:lastRow="0" w:firstColumn="1" w:lastColumn="0" w:noHBand="0" w:noVBand="1"/>
      </w:tblPr>
      <w:tblGrid>
        <w:gridCol w:w="2390"/>
        <w:gridCol w:w="1084"/>
        <w:gridCol w:w="1084"/>
        <w:gridCol w:w="1084"/>
        <w:gridCol w:w="1145"/>
        <w:gridCol w:w="1145"/>
      </w:tblGrid>
      <w:tr w:rsidR="00C54E82" w:rsidTr="00A400FD">
        <w:trPr>
          <w:trHeight w:val="684"/>
          <w:jc w:val="center"/>
        </w:trPr>
        <w:tc>
          <w:tcPr>
            <w:tcW w:w="0" w:type="auto"/>
            <w:shd w:val="clear" w:color="auto" w:fill="BFBFBF" w:themeFill="background1" w:themeFillShade="BF"/>
          </w:tcPr>
          <w:p w:rsidR="00A400FD" w:rsidRPr="00084CD2" w:rsidRDefault="007B1E59" w:rsidP="00A400FD">
            <w:pPr>
              <w:tabs>
                <w:tab w:val="left" w:pos="567"/>
                <w:tab w:val="left" w:pos="1134"/>
              </w:tabs>
              <w:spacing w:after="0"/>
              <w:rPr>
                <w:rFonts w:cs="Arial"/>
                <w:highlight w:val="yellow"/>
              </w:rPr>
            </w:pPr>
          </w:p>
        </w:tc>
        <w:tc>
          <w:tcPr>
            <w:tcW w:w="0" w:type="auto"/>
            <w:shd w:val="clear" w:color="auto" w:fill="BFBFBF" w:themeFill="background1" w:themeFillShade="BF"/>
            <w:vAlign w:val="center"/>
          </w:tcPr>
          <w:p w:rsidR="00A400FD" w:rsidRPr="00BC42B6" w:rsidRDefault="00F0743D" w:rsidP="00A400FD">
            <w:pPr>
              <w:tabs>
                <w:tab w:val="left" w:pos="567"/>
                <w:tab w:val="left" w:pos="1134"/>
              </w:tabs>
              <w:spacing w:after="0"/>
              <w:jc w:val="center"/>
              <w:rPr>
                <w:rFonts w:cs="Arial"/>
                <w:b/>
              </w:rPr>
            </w:pPr>
            <w:r w:rsidRPr="00BC42B6">
              <w:rPr>
                <w:rFonts w:cs="Arial"/>
                <w:b/>
              </w:rPr>
              <w:t>2019/20</w:t>
            </w:r>
          </w:p>
          <w:p w:rsidR="00A400FD" w:rsidRPr="00BC42B6" w:rsidRDefault="00F0743D" w:rsidP="00A400FD">
            <w:pPr>
              <w:tabs>
                <w:tab w:val="left" w:pos="567"/>
                <w:tab w:val="left" w:pos="1134"/>
              </w:tabs>
              <w:spacing w:after="0"/>
              <w:jc w:val="center"/>
              <w:rPr>
                <w:rFonts w:cs="Arial"/>
                <w:b/>
              </w:rPr>
            </w:pPr>
            <w:r w:rsidRPr="00BC42B6">
              <w:rPr>
                <w:rFonts w:cs="Arial"/>
                <w:b/>
              </w:rPr>
              <w:t>£m</w:t>
            </w:r>
          </w:p>
        </w:tc>
        <w:tc>
          <w:tcPr>
            <w:tcW w:w="0" w:type="auto"/>
            <w:shd w:val="clear" w:color="auto" w:fill="BFBFBF" w:themeFill="background1" w:themeFillShade="BF"/>
            <w:vAlign w:val="center"/>
          </w:tcPr>
          <w:p w:rsidR="00A400FD" w:rsidRPr="00BC42B6" w:rsidRDefault="00F0743D" w:rsidP="00A400FD">
            <w:pPr>
              <w:tabs>
                <w:tab w:val="left" w:pos="567"/>
                <w:tab w:val="left" w:pos="1134"/>
              </w:tabs>
              <w:spacing w:after="0"/>
              <w:jc w:val="center"/>
              <w:rPr>
                <w:rFonts w:cs="Arial"/>
                <w:b/>
              </w:rPr>
            </w:pPr>
            <w:r w:rsidRPr="00BC42B6">
              <w:rPr>
                <w:rFonts w:cs="Arial"/>
                <w:b/>
              </w:rPr>
              <w:t>2020/21</w:t>
            </w:r>
          </w:p>
          <w:p w:rsidR="00A400FD" w:rsidRPr="00BC42B6" w:rsidRDefault="00F0743D" w:rsidP="00A400FD">
            <w:pPr>
              <w:tabs>
                <w:tab w:val="left" w:pos="567"/>
                <w:tab w:val="left" w:pos="1134"/>
              </w:tabs>
              <w:spacing w:after="0"/>
              <w:jc w:val="center"/>
              <w:rPr>
                <w:rFonts w:cs="Arial"/>
                <w:b/>
              </w:rPr>
            </w:pPr>
            <w:r w:rsidRPr="00BC42B6">
              <w:rPr>
                <w:rFonts w:cs="Arial"/>
                <w:b/>
              </w:rPr>
              <w:t>£m</w:t>
            </w:r>
          </w:p>
        </w:tc>
        <w:tc>
          <w:tcPr>
            <w:tcW w:w="0" w:type="auto"/>
            <w:shd w:val="clear" w:color="auto" w:fill="BFBFBF" w:themeFill="background1" w:themeFillShade="BF"/>
            <w:vAlign w:val="center"/>
          </w:tcPr>
          <w:p w:rsidR="00A400FD" w:rsidRPr="00BC42B6" w:rsidRDefault="00F0743D" w:rsidP="00A400FD">
            <w:pPr>
              <w:tabs>
                <w:tab w:val="left" w:pos="567"/>
                <w:tab w:val="left" w:pos="1134"/>
              </w:tabs>
              <w:spacing w:after="0"/>
              <w:jc w:val="center"/>
              <w:rPr>
                <w:rFonts w:cs="Arial"/>
                <w:b/>
              </w:rPr>
            </w:pPr>
            <w:r w:rsidRPr="00BC42B6">
              <w:rPr>
                <w:rFonts w:cs="Arial"/>
                <w:b/>
              </w:rPr>
              <w:t>2021/22</w:t>
            </w:r>
          </w:p>
          <w:p w:rsidR="00A400FD" w:rsidRPr="00BC42B6" w:rsidRDefault="00F0743D" w:rsidP="00A400FD">
            <w:pPr>
              <w:tabs>
                <w:tab w:val="left" w:pos="567"/>
                <w:tab w:val="left" w:pos="1134"/>
              </w:tabs>
              <w:spacing w:after="0"/>
              <w:jc w:val="center"/>
              <w:rPr>
                <w:rFonts w:cs="Arial"/>
                <w:b/>
              </w:rPr>
            </w:pPr>
            <w:r w:rsidRPr="00BC42B6">
              <w:rPr>
                <w:rFonts w:cs="Arial"/>
                <w:b/>
              </w:rPr>
              <w:t>£m</w:t>
            </w:r>
          </w:p>
        </w:tc>
        <w:tc>
          <w:tcPr>
            <w:tcW w:w="1145" w:type="dxa"/>
            <w:shd w:val="clear" w:color="auto" w:fill="BFBFBF" w:themeFill="background1" w:themeFillShade="BF"/>
            <w:vAlign w:val="center"/>
          </w:tcPr>
          <w:p w:rsidR="00A400FD" w:rsidRPr="00BC42B6" w:rsidRDefault="00F0743D" w:rsidP="00A400FD">
            <w:pPr>
              <w:tabs>
                <w:tab w:val="left" w:pos="567"/>
                <w:tab w:val="left" w:pos="1134"/>
              </w:tabs>
              <w:spacing w:after="0"/>
              <w:jc w:val="center"/>
              <w:rPr>
                <w:rFonts w:cs="Arial"/>
                <w:b/>
              </w:rPr>
            </w:pPr>
            <w:r w:rsidRPr="00BC42B6">
              <w:rPr>
                <w:rFonts w:cs="Arial"/>
                <w:b/>
              </w:rPr>
              <w:t>2022/23</w:t>
            </w:r>
          </w:p>
          <w:p w:rsidR="00A400FD" w:rsidRPr="00BC42B6" w:rsidRDefault="00F0743D" w:rsidP="00A400FD">
            <w:pPr>
              <w:tabs>
                <w:tab w:val="left" w:pos="567"/>
                <w:tab w:val="left" w:pos="1134"/>
              </w:tabs>
              <w:spacing w:after="0"/>
              <w:jc w:val="center"/>
              <w:rPr>
                <w:rFonts w:cs="Arial"/>
                <w:b/>
              </w:rPr>
            </w:pPr>
            <w:r w:rsidRPr="00BC42B6">
              <w:rPr>
                <w:rFonts w:cs="Arial"/>
                <w:b/>
              </w:rPr>
              <w:t>£m</w:t>
            </w:r>
          </w:p>
        </w:tc>
        <w:tc>
          <w:tcPr>
            <w:tcW w:w="1145" w:type="dxa"/>
            <w:shd w:val="clear" w:color="auto" w:fill="BFBFBF" w:themeFill="background1" w:themeFillShade="BF"/>
            <w:vAlign w:val="center"/>
          </w:tcPr>
          <w:p w:rsidR="00A400FD" w:rsidRPr="00BC42B6" w:rsidRDefault="00F0743D" w:rsidP="00A400FD">
            <w:pPr>
              <w:tabs>
                <w:tab w:val="left" w:pos="567"/>
                <w:tab w:val="left" w:pos="1134"/>
              </w:tabs>
              <w:spacing w:after="0"/>
              <w:jc w:val="center"/>
              <w:rPr>
                <w:rFonts w:cs="Arial"/>
                <w:b/>
              </w:rPr>
            </w:pPr>
            <w:r w:rsidRPr="00BC42B6">
              <w:rPr>
                <w:rFonts w:cs="Arial"/>
                <w:b/>
              </w:rPr>
              <w:t>Total</w:t>
            </w:r>
          </w:p>
          <w:p w:rsidR="00A400FD" w:rsidRPr="00BC42B6" w:rsidRDefault="00F0743D" w:rsidP="00A400FD">
            <w:pPr>
              <w:tabs>
                <w:tab w:val="left" w:pos="567"/>
                <w:tab w:val="left" w:pos="1134"/>
              </w:tabs>
              <w:spacing w:after="0"/>
              <w:jc w:val="center"/>
              <w:rPr>
                <w:rFonts w:cs="Arial"/>
                <w:b/>
              </w:rPr>
            </w:pPr>
            <w:r w:rsidRPr="00BC42B6">
              <w:rPr>
                <w:rFonts w:cs="Arial"/>
                <w:b/>
              </w:rPr>
              <w:t>£m</w:t>
            </w:r>
          </w:p>
        </w:tc>
      </w:tr>
      <w:tr w:rsidR="00C54E82" w:rsidTr="00A400FD">
        <w:trPr>
          <w:trHeight w:val="684"/>
          <w:jc w:val="center"/>
        </w:trPr>
        <w:tc>
          <w:tcPr>
            <w:tcW w:w="0" w:type="auto"/>
            <w:vAlign w:val="center"/>
          </w:tcPr>
          <w:p w:rsidR="00A400FD" w:rsidRPr="00BC42B6" w:rsidRDefault="00F0743D" w:rsidP="00A400FD">
            <w:pPr>
              <w:tabs>
                <w:tab w:val="left" w:pos="567"/>
                <w:tab w:val="left" w:pos="1134"/>
              </w:tabs>
              <w:spacing w:after="0"/>
              <w:jc w:val="left"/>
              <w:rPr>
                <w:rFonts w:cs="Arial"/>
              </w:rPr>
            </w:pPr>
            <w:r>
              <w:rPr>
                <w:rFonts w:cs="Arial"/>
              </w:rPr>
              <w:t>Adults Services</w:t>
            </w:r>
          </w:p>
        </w:tc>
        <w:tc>
          <w:tcPr>
            <w:tcW w:w="0" w:type="auto"/>
            <w:vAlign w:val="center"/>
          </w:tcPr>
          <w:p w:rsidR="00A400FD" w:rsidRDefault="00F0743D" w:rsidP="00A400FD">
            <w:pPr>
              <w:tabs>
                <w:tab w:val="left" w:pos="567"/>
                <w:tab w:val="left" w:pos="1134"/>
              </w:tabs>
              <w:spacing w:after="0"/>
              <w:jc w:val="right"/>
              <w:rPr>
                <w:rFonts w:cs="Arial"/>
              </w:rPr>
            </w:pPr>
            <w:r>
              <w:rPr>
                <w:rFonts w:cs="Arial"/>
              </w:rPr>
              <w:t>13.531</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15.831</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9.473</w:t>
            </w:r>
          </w:p>
        </w:tc>
        <w:tc>
          <w:tcPr>
            <w:tcW w:w="1145" w:type="dxa"/>
            <w:vAlign w:val="center"/>
          </w:tcPr>
          <w:p w:rsidR="00A400FD" w:rsidRPr="00BC42B6" w:rsidRDefault="00F0743D" w:rsidP="00A400FD">
            <w:pPr>
              <w:tabs>
                <w:tab w:val="left" w:pos="567"/>
                <w:tab w:val="left" w:pos="1134"/>
              </w:tabs>
              <w:spacing w:after="0"/>
              <w:jc w:val="right"/>
              <w:rPr>
                <w:rFonts w:cs="Arial"/>
              </w:rPr>
            </w:pPr>
            <w:r>
              <w:rPr>
                <w:rFonts w:cs="Arial"/>
              </w:rPr>
              <w:t>10.163</w:t>
            </w:r>
          </w:p>
        </w:tc>
        <w:tc>
          <w:tcPr>
            <w:tcW w:w="1145" w:type="dxa"/>
            <w:vAlign w:val="center"/>
          </w:tcPr>
          <w:p w:rsidR="00A400FD" w:rsidRPr="00BC42B6" w:rsidRDefault="00F0743D" w:rsidP="00A400FD">
            <w:pPr>
              <w:tabs>
                <w:tab w:val="left" w:pos="567"/>
                <w:tab w:val="left" w:pos="1134"/>
              </w:tabs>
              <w:spacing w:after="0"/>
              <w:jc w:val="right"/>
              <w:rPr>
                <w:rFonts w:cs="Arial"/>
                <w:b/>
              </w:rPr>
            </w:pPr>
            <w:r>
              <w:rPr>
                <w:rFonts w:cs="Arial"/>
                <w:b/>
              </w:rPr>
              <w:t>48.998</w:t>
            </w:r>
          </w:p>
        </w:tc>
      </w:tr>
      <w:tr w:rsidR="00C54E82" w:rsidTr="00A400FD">
        <w:trPr>
          <w:trHeight w:val="684"/>
          <w:jc w:val="center"/>
        </w:trPr>
        <w:tc>
          <w:tcPr>
            <w:tcW w:w="0" w:type="auto"/>
            <w:vAlign w:val="center"/>
          </w:tcPr>
          <w:p w:rsidR="00A400FD" w:rsidRPr="00BC42B6" w:rsidRDefault="00F0743D" w:rsidP="00A400FD">
            <w:pPr>
              <w:tabs>
                <w:tab w:val="left" w:pos="567"/>
                <w:tab w:val="left" w:pos="1134"/>
              </w:tabs>
              <w:spacing w:after="0"/>
              <w:jc w:val="left"/>
              <w:rPr>
                <w:rFonts w:cs="Arial"/>
              </w:rPr>
            </w:pPr>
            <w:r>
              <w:rPr>
                <w:rFonts w:cs="Arial"/>
              </w:rPr>
              <w:t>Children's Services</w:t>
            </w:r>
          </w:p>
        </w:tc>
        <w:tc>
          <w:tcPr>
            <w:tcW w:w="0" w:type="auto"/>
            <w:vAlign w:val="center"/>
          </w:tcPr>
          <w:p w:rsidR="00A400FD" w:rsidRDefault="00F0743D" w:rsidP="00A400FD">
            <w:pPr>
              <w:tabs>
                <w:tab w:val="left" w:pos="567"/>
                <w:tab w:val="left" w:pos="1134"/>
              </w:tabs>
              <w:spacing w:after="0"/>
              <w:jc w:val="right"/>
              <w:rPr>
                <w:rFonts w:cs="Arial"/>
              </w:rPr>
            </w:pPr>
            <w:r>
              <w:rPr>
                <w:rFonts w:cs="Arial"/>
              </w:rPr>
              <w:t>7.139</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3.056</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1.668</w:t>
            </w:r>
          </w:p>
        </w:tc>
        <w:tc>
          <w:tcPr>
            <w:tcW w:w="1145" w:type="dxa"/>
            <w:vAlign w:val="center"/>
          </w:tcPr>
          <w:p w:rsidR="00A400FD" w:rsidRPr="00BC42B6" w:rsidRDefault="00F0743D" w:rsidP="00A400FD">
            <w:pPr>
              <w:tabs>
                <w:tab w:val="left" w:pos="567"/>
                <w:tab w:val="left" w:pos="1134"/>
              </w:tabs>
              <w:spacing w:after="0"/>
              <w:jc w:val="right"/>
              <w:rPr>
                <w:rFonts w:cs="Arial"/>
              </w:rPr>
            </w:pPr>
            <w:r>
              <w:rPr>
                <w:rFonts w:cs="Arial"/>
              </w:rPr>
              <w:t>1.415</w:t>
            </w:r>
          </w:p>
        </w:tc>
        <w:tc>
          <w:tcPr>
            <w:tcW w:w="1145" w:type="dxa"/>
            <w:vAlign w:val="center"/>
          </w:tcPr>
          <w:p w:rsidR="00A400FD" w:rsidRPr="00BC42B6" w:rsidRDefault="00F0743D" w:rsidP="00A400FD">
            <w:pPr>
              <w:tabs>
                <w:tab w:val="left" w:pos="567"/>
                <w:tab w:val="left" w:pos="1134"/>
              </w:tabs>
              <w:spacing w:after="0"/>
              <w:jc w:val="right"/>
              <w:rPr>
                <w:rFonts w:cs="Arial"/>
                <w:b/>
              </w:rPr>
            </w:pPr>
            <w:r>
              <w:rPr>
                <w:rFonts w:cs="Arial"/>
                <w:b/>
              </w:rPr>
              <w:t>13.278</w:t>
            </w:r>
          </w:p>
        </w:tc>
      </w:tr>
      <w:tr w:rsidR="00C54E82" w:rsidTr="00A400FD">
        <w:trPr>
          <w:trHeight w:val="684"/>
          <w:jc w:val="center"/>
        </w:trPr>
        <w:tc>
          <w:tcPr>
            <w:tcW w:w="0" w:type="auto"/>
            <w:vAlign w:val="center"/>
          </w:tcPr>
          <w:p w:rsidR="00A400FD" w:rsidRPr="00BC42B6" w:rsidRDefault="00F0743D" w:rsidP="00A400FD">
            <w:pPr>
              <w:tabs>
                <w:tab w:val="left" w:pos="567"/>
                <w:tab w:val="left" w:pos="1134"/>
              </w:tabs>
              <w:spacing w:after="0"/>
              <w:jc w:val="left"/>
              <w:rPr>
                <w:rFonts w:cs="Arial"/>
              </w:rPr>
            </w:pPr>
            <w:r>
              <w:rPr>
                <w:rFonts w:cs="Arial"/>
              </w:rPr>
              <w:t>Waste Services</w:t>
            </w:r>
          </w:p>
        </w:tc>
        <w:tc>
          <w:tcPr>
            <w:tcW w:w="0" w:type="auto"/>
            <w:vAlign w:val="center"/>
          </w:tcPr>
          <w:p w:rsidR="00A400FD" w:rsidRDefault="00F0743D" w:rsidP="00A400FD">
            <w:pPr>
              <w:tabs>
                <w:tab w:val="left" w:pos="567"/>
                <w:tab w:val="left" w:pos="1134"/>
              </w:tabs>
              <w:spacing w:after="0"/>
              <w:jc w:val="right"/>
              <w:rPr>
                <w:rFonts w:cs="Arial"/>
              </w:rPr>
            </w:pPr>
            <w:r>
              <w:rPr>
                <w:rFonts w:cs="Arial"/>
              </w:rPr>
              <w:t>1.764</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1.824</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1.931</w:t>
            </w:r>
          </w:p>
        </w:tc>
        <w:tc>
          <w:tcPr>
            <w:tcW w:w="1145" w:type="dxa"/>
            <w:vAlign w:val="center"/>
          </w:tcPr>
          <w:p w:rsidR="00A400FD" w:rsidRPr="00BC42B6" w:rsidRDefault="00F0743D" w:rsidP="00A400FD">
            <w:pPr>
              <w:tabs>
                <w:tab w:val="left" w:pos="567"/>
                <w:tab w:val="left" w:pos="1134"/>
              </w:tabs>
              <w:spacing w:after="0"/>
              <w:jc w:val="right"/>
              <w:rPr>
                <w:rFonts w:cs="Arial"/>
              </w:rPr>
            </w:pPr>
            <w:r>
              <w:rPr>
                <w:rFonts w:cs="Arial"/>
              </w:rPr>
              <w:t>2.058</w:t>
            </w:r>
          </w:p>
        </w:tc>
        <w:tc>
          <w:tcPr>
            <w:tcW w:w="1145" w:type="dxa"/>
            <w:vAlign w:val="center"/>
          </w:tcPr>
          <w:p w:rsidR="00A400FD" w:rsidRPr="00BC42B6" w:rsidRDefault="00F0743D" w:rsidP="00A400FD">
            <w:pPr>
              <w:tabs>
                <w:tab w:val="left" w:pos="567"/>
                <w:tab w:val="left" w:pos="1134"/>
              </w:tabs>
              <w:spacing w:after="0"/>
              <w:jc w:val="right"/>
              <w:rPr>
                <w:rFonts w:cs="Arial"/>
                <w:b/>
              </w:rPr>
            </w:pPr>
            <w:r>
              <w:rPr>
                <w:rFonts w:cs="Arial"/>
                <w:b/>
              </w:rPr>
              <w:t>7.577</w:t>
            </w:r>
          </w:p>
        </w:tc>
      </w:tr>
      <w:tr w:rsidR="00C54E82" w:rsidTr="00A400FD">
        <w:trPr>
          <w:trHeight w:val="684"/>
          <w:jc w:val="center"/>
        </w:trPr>
        <w:tc>
          <w:tcPr>
            <w:tcW w:w="0" w:type="auto"/>
            <w:vAlign w:val="center"/>
          </w:tcPr>
          <w:p w:rsidR="00A400FD" w:rsidRPr="00BC42B6" w:rsidRDefault="00F0743D" w:rsidP="00A400FD">
            <w:pPr>
              <w:tabs>
                <w:tab w:val="left" w:pos="567"/>
                <w:tab w:val="left" w:pos="1134"/>
              </w:tabs>
              <w:spacing w:after="0"/>
              <w:jc w:val="left"/>
              <w:rPr>
                <w:rFonts w:cs="Arial"/>
              </w:rPr>
            </w:pPr>
            <w:r>
              <w:rPr>
                <w:rFonts w:cs="Arial"/>
              </w:rPr>
              <w:t>Other Services</w:t>
            </w:r>
          </w:p>
        </w:tc>
        <w:tc>
          <w:tcPr>
            <w:tcW w:w="0" w:type="auto"/>
            <w:vAlign w:val="center"/>
          </w:tcPr>
          <w:p w:rsidR="00A400FD" w:rsidRDefault="00F0743D" w:rsidP="00A400FD">
            <w:pPr>
              <w:tabs>
                <w:tab w:val="left" w:pos="567"/>
                <w:tab w:val="left" w:pos="1134"/>
              </w:tabs>
              <w:spacing w:after="0"/>
              <w:jc w:val="right"/>
              <w:rPr>
                <w:rFonts w:cs="Arial"/>
              </w:rPr>
            </w:pPr>
            <w:r>
              <w:rPr>
                <w:rFonts w:cs="Arial"/>
              </w:rPr>
              <w:t>0.417</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0.230</w:t>
            </w:r>
          </w:p>
        </w:tc>
        <w:tc>
          <w:tcPr>
            <w:tcW w:w="0" w:type="auto"/>
            <w:vAlign w:val="center"/>
          </w:tcPr>
          <w:p w:rsidR="00A400FD" w:rsidRPr="00BC42B6" w:rsidRDefault="00F0743D" w:rsidP="00A400FD">
            <w:pPr>
              <w:tabs>
                <w:tab w:val="left" w:pos="567"/>
                <w:tab w:val="left" w:pos="1134"/>
              </w:tabs>
              <w:spacing w:after="0"/>
              <w:jc w:val="right"/>
              <w:rPr>
                <w:rFonts w:cs="Arial"/>
              </w:rPr>
            </w:pPr>
            <w:r>
              <w:rPr>
                <w:rFonts w:cs="Arial"/>
              </w:rPr>
              <w:t>0.263</w:t>
            </w:r>
          </w:p>
        </w:tc>
        <w:tc>
          <w:tcPr>
            <w:tcW w:w="1145" w:type="dxa"/>
            <w:vAlign w:val="center"/>
          </w:tcPr>
          <w:p w:rsidR="00A400FD" w:rsidRPr="00BC42B6" w:rsidRDefault="00F0743D" w:rsidP="00A400FD">
            <w:pPr>
              <w:tabs>
                <w:tab w:val="left" w:pos="567"/>
                <w:tab w:val="left" w:pos="1134"/>
              </w:tabs>
              <w:spacing w:after="0"/>
              <w:jc w:val="right"/>
              <w:rPr>
                <w:rFonts w:cs="Arial"/>
              </w:rPr>
            </w:pPr>
            <w:r>
              <w:rPr>
                <w:rFonts w:cs="Arial"/>
              </w:rPr>
              <w:t>-0.217</w:t>
            </w:r>
          </w:p>
        </w:tc>
        <w:tc>
          <w:tcPr>
            <w:tcW w:w="1145" w:type="dxa"/>
            <w:vAlign w:val="center"/>
          </w:tcPr>
          <w:p w:rsidR="00A400FD" w:rsidRPr="00BC42B6" w:rsidRDefault="00F0743D" w:rsidP="00A400FD">
            <w:pPr>
              <w:tabs>
                <w:tab w:val="left" w:pos="567"/>
                <w:tab w:val="left" w:pos="1134"/>
              </w:tabs>
              <w:spacing w:after="0"/>
              <w:jc w:val="right"/>
              <w:rPr>
                <w:rFonts w:cs="Arial"/>
                <w:b/>
              </w:rPr>
            </w:pPr>
            <w:r>
              <w:rPr>
                <w:rFonts w:cs="Arial"/>
                <w:b/>
              </w:rPr>
              <w:t>0.693</w:t>
            </w:r>
          </w:p>
        </w:tc>
      </w:tr>
      <w:tr w:rsidR="00C54E82" w:rsidTr="00A400FD">
        <w:tblPrEx>
          <w:jc w:val="left"/>
        </w:tblPrEx>
        <w:trPr>
          <w:trHeight w:val="684"/>
        </w:trPr>
        <w:tc>
          <w:tcPr>
            <w:tcW w:w="0" w:type="auto"/>
            <w:vAlign w:val="center"/>
          </w:tcPr>
          <w:p w:rsidR="00A400FD" w:rsidRPr="00A46118" w:rsidRDefault="00F0743D" w:rsidP="00A400FD">
            <w:pPr>
              <w:tabs>
                <w:tab w:val="left" w:pos="567"/>
                <w:tab w:val="left" w:pos="1134"/>
              </w:tabs>
              <w:spacing w:after="0"/>
              <w:jc w:val="left"/>
              <w:rPr>
                <w:rFonts w:cs="Arial"/>
                <w:b/>
              </w:rPr>
            </w:pPr>
            <w:r w:rsidRPr="00A46118">
              <w:rPr>
                <w:rFonts w:cs="Arial"/>
                <w:b/>
              </w:rPr>
              <w:t>Revised Demand Requirements</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22.852</w:t>
            </w:r>
          </w:p>
        </w:tc>
        <w:tc>
          <w:tcPr>
            <w:tcW w:w="0" w:type="auto"/>
            <w:vAlign w:val="center"/>
          </w:tcPr>
          <w:p w:rsidR="00A400FD" w:rsidRPr="00A46118" w:rsidRDefault="00F0743D" w:rsidP="00A400FD">
            <w:pPr>
              <w:tabs>
                <w:tab w:val="left" w:pos="567"/>
                <w:tab w:val="left" w:pos="1134"/>
              </w:tabs>
              <w:spacing w:after="0"/>
              <w:jc w:val="right"/>
              <w:rPr>
                <w:rFonts w:cs="Arial"/>
                <w:b/>
              </w:rPr>
            </w:pPr>
            <w:r>
              <w:rPr>
                <w:rFonts w:cs="Arial"/>
                <w:b/>
              </w:rPr>
              <w:t>20.941</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13.335</w:t>
            </w:r>
          </w:p>
        </w:tc>
        <w:tc>
          <w:tcPr>
            <w:tcW w:w="1145" w:type="dxa"/>
            <w:vAlign w:val="center"/>
          </w:tcPr>
          <w:p w:rsidR="00A400FD" w:rsidRPr="00A46118" w:rsidRDefault="00F0743D" w:rsidP="00A400FD">
            <w:pPr>
              <w:tabs>
                <w:tab w:val="left" w:pos="567"/>
                <w:tab w:val="left" w:pos="1134"/>
              </w:tabs>
              <w:spacing w:after="0"/>
              <w:jc w:val="right"/>
              <w:rPr>
                <w:rFonts w:cs="Arial"/>
                <w:b/>
              </w:rPr>
            </w:pPr>
            <w:r w:rsidRPr="00A46118">
              <w:rPr>
                <w:rFonts w:cs="Arial"/>
                <w:b/>
              </w:rPr>
              <w:t>13.419</w:t>
            </w:r>
          </w:p>
        </w:tc>
        <w:tc>
          <w:tcPr>
            <w:tcW w:w="1145" w:type="dxa"/>
            <w:vAlign w:val="center"/>
          </w:tcPr>
          <w:p w:rsidR="00A400FD" w:rsidRPr="00BC42B6" w:rsidRDefault="00F0743D" w:rsidP="00A400FD">
            <w:pPr>
              <w:tabs>
                <w:tab w:val="left" w:pos="567"/>
                <w:tab w:val="left" w:pos="1134"/>
              </w:tabs>
              <w:spacing w:after="0"/>
              <w:jc w:val="right"/>
              <w:rPr>
                <w:rFonts w:cs="Arial"/>
                <w:b/>
              </w:rPr>
            </w:pPr>
            <w:r w:rsidRPr="00BC42B6">
              <w:rPr>
                <w:rFonts w:cs="Arial"/>
                <w:b/>
              </w:rPr>
              <w:t>70.</w:t>
            </w:r>
            <w:r>
              <w:rPr>
                <w:rFonts w:cs="Arial"/>
                <w:b/>
              </w:rPr>
              <w:t>546</w:t>
            </w:r>
          </w:p>
        </w:tc>
      </w:tr>
      <w:tr w:rsidR="00C54E82" w:rsidTr="00A400FD">
        <w:trPr>
          <w:trHeight w:val="431"/>
          <w:jc w:val="center"/>
        </w:trPr>
        <w:tc>
          <w:tcPr>
            <w:tcW w:w="0" w:type="auto"/>
            <w:vAlign w:val="center"/>
          </w:tcPr>
          <w:p w:rsidR="00A400FD" w:rsidRPr="00BC42B6" w:rsidRDefault="007B1E59" w:rsidP="00A400FD">
            <w:pPr>
              <w:tabs>
                <w:tab w:val="left" w:pos="567"/>
                <w:tab w:val="left" w:pos="1134"/>
              </w:tabs>
              <w:spacing w:after="0"/>
              <w:jc w:val="left"/>
              <w:rPr>
                <w:rFonts w:cs="Arial"/>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1145" w:type="dxa"/>
            <w:vAlign w:val="center"/>
          </w:tcPr>
          <w:p w:rsidR="00A400FD" w:rsidRPr="00084CD2" w:rsidRDefault="007B1E59" w:rsidP="00A400FD">
            <w:pPr>
              <w:tabs>
                <w:tab w:val="left" w:pos="567"/>
                <w:tab w:val="left" w:pos="1134"/>
              </w:tabs>
              <w:spacing w:after="0"/>
              <w:jc w:val="right"/>
              <w:rPr>
                <w:rFonts w:cs="Arial"/>
                <w:b/>
                <w:highlight w:val="yellow"/>
              </w:rPr>
            </w:pPr>
          </w:p>
        </w:tc>
        <w:tc>
          <w:tcPr>
            <w:tcW w:w="1145" w:type="dxa"/>
            <w:vAlign w:val="center"/>
          </w:tcPr>
          <w:p w:rsidR="00A400FD" w:rsidRPr="00084CD2" w:rsidRDefault="007B1E59" w:rsidP="00A400FD">
            <w:pPr>
              <w:tabs>
                <w:tab w:val="left" w:pos="567"/>
                <w:tab w:val="left" w:pos="1134"/>
              </w:tabs>
              <w:spacing w:after="0"/>
              <w:jc w:val="right"/>
              <w:rPr>
                <w:rFonts w:cs="Arial"/>
                <w:b/>
                <w:highlight w:val="yellow"/>
              </w:rPr>
            </w:pPr>
          </w:p>
        </w:tc>
      </w:tr>
      <w:tr w:rsidR="00C54E82" w:rsidTr="00A400FD">
        <w:tblPrEx>
          <w:jc w:val="left"/>
        </w:tblPrEx>
        <w:trPr>
          <w:trHeight w:val="684"/>
        </w:trPr>
        <w:tc>
          <w:tcPr>
            <w:tcW w:w="0" w:type="auto"/>
            <w:vAlign w:val="center"/>
          </w:tcPr>
          <w:p w:rsidR="00A400FD" w:rsidRPr="00084CD2" w:rsidRDefault="00F0743D" w:rsidP="00A400FD">
            <w:pPr>
              <w:tabs>
                <w:tab w:val="left" w:pos="567"/>
                <w:tab w:val="left" w:pos="1134"/>
              </w:tabs>
              <w:spacing w:after="0"/>
              <w:jc w:val="left"/>
              <w:rPr>
                <w:rFonts w:cs="Arial"/>
                <w:highlight w:val="yellow"/>
              </w:rPr>
            </w:pPr>
            <w:r w:rsidRPr="00BC42B6">
              <w:rPr>
                <w:rFonts w:cs="Arial"/>
                <w:b/>
              </w:rPr>
              <w:t>Demand – previous MTFS</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23.429</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20.848</w:t>
            </w:r>
          </w:p>
        </w:tc>
        <w:tc>
          <w:tcPr>
            <w:tcW w:w="0" w:type="auto"/>
            <w:vAlign w:val="center"/>
          </w:tcPr>
          <w:p w:rsidR="00A400FD" w:rsidRPr="00A46118" w:rsidRDefault="00F0743D" w:rsidP="00A400FD">
            <w:pPr>
              <w:tabs>
                <w:tab w:val="left" w:pos="567"/>
                <w:tab w:val="left" w:pos="1134"/>
              </w:tabs>
              <w:spacing w:after="0"/>
              <w:jc w:val="right"/>
              <w:rPr>
                <w:rFonts w:cs="Arial"/>
                <w:b/>
              </w:rPr>
            </w:pPr>
            <w:r w:rsidRPr="00A46118">
              <w:rPr>
                <w:rFonts w:cs="Arial"/>
                <w:b/>
              </w:rPr>
              <w:t>14.196</w:t>
            </w:r>
          </w:p>
        </w:tc>
        <w:tc>
          <w:tcPr>
            <w:tcW w:w="1145" w:type="dxa"/>
            <w:vAlign w:val="center"/>
          </w:tcPr>
          <w:p w:rsidR="00A400FD" w:rsidRPr="00A46118" w:rsidRDefault="00F0743D" w:rsidP="00A400FD">
            <w:pPr>
              <w:tabs>
                <w:tab w:val="left" w:pos="567"/>
                <w:tab w:val="left" w:pos="1134"/>
              </w:tabs>
              <w:spacing w:after="0"/>
              <w:jc w:val="right"/>
              <w:rPr>
                <w:rFonts w:cs="Arial"/>
                <w:b/>
              </w:rPr>
            </w:pPr>
            <w:r w:rsidRPr="00A46118">
              <w:rPr>
                <w:rFonts w:cs="Arial"/>
                <w:b/>
              </w:rPr>
              <w:t>0.000</w:t>
            </w:r>
          </w:p>
        </w:tc>
        <w:tc>
          <w:tcPr>
            <w:tcW w:w="1145" w:type="dxa"/>
            <w:vAlign w:val="center"/>
          </w:tcPr>
          <w:p w:rsidR="00A400FD" w:rsidRPr="00084CD2" w:rsidRDefault="00F0743D" w:rsidP="00A400FD">
            <w:pPr>
              <w:tabs>
                <w:tab w:val="left" w:pos="567"/>
                <w:tab w:val="left" w:pos="1134"/>
              </w:tabs>
              <w:spacing w:after="0"/>
              <w:jc w:val="right"/>
              <w:rPr>
                <w:rFonts w:cs="Arial"/>
                <w:b/>
                <w:highlight w:val="yellow"/>
              </w:rPr>
            </w:pPr>
            <w:r w:rsidRPr="00BC42B6">
              <w:rPr>
                <w:rFonts w:cs="Arial"/>
                <w:b/>
              </w:rPr>
              <w:t>58.473</w:t>
            </w:r>
          </w:p>
        </w:tc>
      </w:tr>
      <w:tr w:rsidR="00C54E82" w:rsidTr="00A400FD">
        <w:trPr>
          <w:trHeight w:val="431"/>
          <w:jc w:val="center"/>
        </w:trPr>
        <w:tc>
          <w:tcPr>
            <w:tcW w:w="0" w:type="auto"/>
            <w:vAlign w:val="center"/>
          </w:tcPr>
          <w:p w:rsidR="00A400FD" w:rsidRPr="00BC42B6" w:rsidRDefault="007B1E59" w:rsidP="00A400FD">
            <w:pPr>
              <w:tabs>
                <w:tab w:val="left" w:pos="567"/>
                <w:tab w:val="left" w:pos="1134"/>
              </w:tabs>
              <w:spacing w:after="0"/>
              <w:jc w:val="left"/>
              <w:rPr>
                <w:rFonts w:cs="Arial"/>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0" w:type="auto"/>
            <w:vAlign w:val="center"/>
          </w:tcPr>
          <w:p w:rsidR="00A400FD" w:rsidRPr="00084CD2" w:rsidRDefault="007B1E59" w:rsidP="00A400FD">
            <w:pPr>
              <w:tabs>
                <w:tab w:val="left" w:pos="567"/>
                <w:tab w:val="left" w:pos="1134"/>
              </w:tabs>
              <w:spacing w:after="0"/>
              <w:jc w:val="right"/>
              <w:rPr>
                <w:rFonts w:cs="Arial"/>
                <w:highlight w:val="yellow"/>
              </w:rPr>
            </w:pPr>
          </w:p>
        </w:tc>
        <w:tc>
          <w:tcPr>
            <w:tcW w:w="1145" w:type="dxa"/>
            <w:vAlign w:val="center"/>
          </w:tcPr>
          <w:p w:rsidR="00A400FD" w:rsidRPr="00084CD2" w:rsidRDefault="007B1E59" w:rsidP="00A400FD">
            <w:pPr>
              <w:tabs>
                <w:tab w:val="left" w:pos="567"/>
                <w:tab w:val="left" w:pos="1134"/>
              </w:tabs>
              <w:spacing w:after="0"/>
              <w:jc w:val="right"/>
              <w:rPr>
                <w:rFonts w:cs="Arial"/>
                <w:b/>
                <w:highlight w:val="yellow"/>
              </w:rPr>
            </w:pPr>
          </w:p>
        </w:tc>
        <w:tc>
          <w:tcPr>
            <w:tcW w:w="1145" w:type="dxa"/>
            <w:vAlign w:val="center"/>
          </w:tcPr>
          <w:p w:rsidR="00A400FD" w:rsidRPr="00084CD2" w:rsidRDefault="007B1E59" w:rsidP="00A400FD">
            <w:pPr>
              <w:tabs>
                <w:tab w:val="left" w:pos="567"/>
                <w:tab w:val="left" w:pos="1134"/>
              </w:tabs>
              <w:spacing w:after="0"/>
              <w:jc w:val="right"/>
              <w:rPr>
                <w:rFonts w:cs="Arial"/>
                <w:b/>
                <w:highlight w:val="yellow"/>
              </w:rPr>
            </w:pPr>
          </w:p>
        </w:tc>
      </w:tr>
      <w:tr w:rsidR="00C54E82" w:rsidTr="00A400FD">
        <w:trPr>
          <w:trHeight w:val="684"/>
          <w:jc w:val="center"/>
        </w:trPr>
        <w:tc>
          <w:tcPr>
            <w:tcW w:w="0" w:type="auto"/>
            <w:vAlign w:val="center"/>
          </w:tcPr>
          <w:p w:rsidR="00A400FD" w:rsidRPr="00BC42B6" w:rsidRDefault="00F0743D" w:rsidP="00A400FD">
            <w:pPr>
              <w:tabs>
                <w:tab w:val="left" w:pos="567"/>
                <w:tab w:val="left" w:pos="1134"/>
              </w:tabs>
              <w:spacing w:after="0"/>
              <w:jc w:val="left"/>
              <w:rPr>
                <w:rFonts w:cs="Arial"/>
                <w:b/>
              </w:rPr>
            </w:pPr>
            <w:r w:rsidRPr="00BC42B6">
              <w:rPr>
                <w:rFonts w:cs="Arial"/>
                <w:b/>
              </w:rPr>
              <w:t>Impact on Financial Gap</w:t>
            </w:r>
          </w:p>
        </w:tc>
        <w:tc>
          <w:tcPr>
            <w:tcW w:w="0" w:type="auto"/>
            <w:vAlign w:val="center"/>
          </w:tcPr>
          <w:p w:rsidR="00A400FD" w:rsidRPr="00904C0C" w:rsidRDefault="00F0743D" w:rsidP="00A400FD">
            <w:pPr>
              <w:tabs>
                <w:tab w:val="left" w:pos="567"/>
                <w:tab w:val="left" w:pos="1134"/>
              </w:tabs>
              <w:spacing w:after="0"/>
              <w:jc w:val="right"/>
              <w:rPr>
                <w:rFonts w:cs="Arial"/>
                <w:b/>
              </w:rPr>
            </w:pPr>
            <w:r>
              <w:rPr>
                <w:rFonts w:cs="Arial"/>
                <w:b/>
              </w:rPr>
              <w:t>-0.577</w:t>
            </w:r>
          </w:p>
        </w:tc>
        <w:tc>
          <w:tcPr>
            <w:tcW w:w="0" w:type="auto"/>
            <w:vAlign w:val="center"/>
          </w:tcPr>
          <w:p w:rsidR="00A400FD" w:rsidRPr="00904C0C" w:rsidRDefault="00F0743D" w:rsidP="00A400FD">
            <w:pPr>
              <w:tabs>
                <w:tab w:val="left" w:pos="567"/>
                <w:tab w:val="left" w:pos="1134"/>
              </w:tabs>
              <w:spacing w:after="0"/>
              <w:jc w:val="right"/>
              <w:rPr>
                <w:rFonts w:cs="Arial"/>
                <w:b/>
              </w:rPr>
            </w:pPr>
            <w:r w:rsidRPr="00904C0C">
              <w:rPr>
                <w:rFonts w:cs="Arial"/>
                <w:b/>
              </w:rPr>
              <w:t>0.093</w:t>
            </w:r>
          </w:p>
        </w:tc>
        <w:tc>
          <w:tcPr>
            <w:tcW w:w="0" w:type="auto"/>
            <w:vAlign w:val="center"/>
          </w:tcPr>
          <w:p w:rsidR="00A400FD" w:rsidRPr="00904C0C" w:rsidRDefault="00F0743D" w:rsidP="00A400FD">
            <w:pPr>
              <w:tabs>
                <w:tab w:val="left" w:pos="567"/>
                <w:tab w:val="left" w:pos="1134"/>
              </w:tabs>
              <w:spacing w:after="0"/>
              <w:jc w:val="right"/>
              <w:rPr>
                <w:rFonts w:cs="Arial"/>
                <w:b/>
              </w:rPr>
            </w:pPr>
            <w:r w:rsidRPr="00904C0C">
              <w:rPr>
                <w:rFonts w:cs="Arial"/>
                <w:b/>
              </w:rPr>
              <w:t>-0.861</w:t>
            </w:r>
          </w:p>
        </w:tc>
        <w:tc>
          <w:tcPr>
            <w:tcW w:w="1145" w:type="dxa"/>
            <w:vAlign w:val="center"/>
          </w:tcPr>
          <w:p w:rsidR="00A400FD" w:rsidRPr="00904C0C" w:rsidRDefault="00F0743D" w:rsidP="00A400FD">
            <w:pPr>
              <w:tabs>
                <w:tab w:val="left" w:pos="567"/>
                <w:tab w:val="left" w:pos="1134"/>
              </w:tabs>
              <w:spacing w:after="0"/>
              <w:jc w:val="right"/>
              <w:rPr>
                <w:rFonts w:cs="Arial"/>
                <w:b/>
              </w:rPr>
            </w:pPr>
            <w:r w:rsidRPr="00904C0C">
              <w:rPr>
                <w:rFonts w:cs="Arial"/>
                <w:b/>
              </w:rPr>
              <w:t>13.419</w:t>
            </w:r>
          </w:p>
        </w:tc>
        <w:tc>
          <w:tcPr>
            <w:tcW w:w="1145" w:type="dxa"/>
            <w:vAlign w:val="center"/>
          </w:tcPr>
          <w:p w:rsidR="00A400FD" w:rsidRPr="00904C0C" w:rsidRDefault="00F0743D" w:rsidP="00A400FD">
            <w:pPr>
              <w:tabs>
                <w:tab w:val="left" w:pos="567"/>
                <w:tab w:val="left" w:pos="1134"/>
              </w:tabs>
              <w:spacing w:after="0"/>
              <w:jc w:val="right"/>
              <w:rPr>
                <w:rFonts w:cs="Arial"/>
                <w:b/>
              </w:rPr>
            </w:pPr>
            <w:r w:rsidRPr="00904C0C">
              <w:rPr>
                <w:rFonts w:cs="Arial"/>
                <w:b/>
              </w:rPr>
              <w:t>12.0</w:t>
            </w:r>
            <w:r>
              <w:rPr>
                <w:rFonts w:cs="Arial"/>
                <w:b/>
              </w:rPr>
              <w:t>7</w:t>
            </w:r>
            <w:r w:rsidRPr="00904C0C">
              <w:rPr>
                <w:rFonts w:cs="Arial"/>
                <w:b/>
              </w:rPr>
              <w:t>3</w:t>
            </w:r>
          </w:p>
        </w:tc>
      </w:tr>
    </w:tbl>
    <w:p w:rsidR="00A400FD" w:rsidRDefault="007B1E59" w:rsidP="00A400FD">
      <w:pPr>
        <w:tabs>
          <w:tab w:val="left" w:pos="567"/>
          <w:tab w:val="left" w:pos="1134"/>
        </w:tabs>
        <w:spacing w:after="0"/>
        <w:rPr>
          <w:rFonts w:cs="Arial"/>
          <w:highlight w:val="yellow"/>
        </w:rPr>
      </w:pPr>
    </w:p>
    <w:p w:rsidR="00A400FD" w:rsidRPr="00084CD2" w:rsidRDefault="007B1E59" w:rsidP="00A400FD">
      <w:pPr>
        <w:tabs>
          <w:tab w:val="left" w:pos="567"/>
          <w:tab w:val="left" w:pos="1134"/>
        </w:tabs>
        <w:spacing w:after="0"/>
        <w:rPr>
          <w:rFonts w:cs="Arial"/>
          <w:highlight w:val="yellow"/>
        </w:rPr>
      </w:pPr>
    </w:p>
    <w:p w:rsidR="00A400FD" w:rsidRPr="00904C0C" w:rsidRDefault="00F0743D" w:rsidP="00A400FD">
      <w:pPr>
        <w:pStyle w:val="ListParagraph"/>
        <w:numPr>
          <w:ilvl w:val="0"/>
          <w:numId w:val="30"/>
        </w:numPr>
        <w:spacing w:after="0"/>
        <w:rPr>
          <w:rFonts w:cs="Arial"/>
        </w:rPr>
      </w:pPr>
      <w:r w:rsidRPr="00904C0C">
        <w:rPr>
          <w:rFonts w:cs="Arial"/>
        </w:rPr>
        <w:t xml:space="preserve">Adult </w:t>
      </w:r>
      <w:r>
        <w:rPr>
          <w:rFonts w:cs="Arial"/>
        </w:rPr>
        <w:t>social c</w:t>
      </w:r>
      <w:r w:rsidRPr="00904C0C">
        <w:rPr>
          <w:rFonts w:cs="Arial"/>
        </w:rPr>
        <w:t>are represents a large proportion of the demand</w:t>
      </w:r>
      <w:r w:rsidRPr="00904C0C">
        <w:rPr>
          <w:rFonts w:cs="Arial"/>
          <w:b/>
        </w:rPr>
        <w:t xml:space="preserve"> </w:t>
      </w:r>
      <w:r w:rsidRPr="00904C0C">
        <w:rPr>
          <w:rFonts w:cs="Arial"/>
        </w:rPr>
        <w:t>pressures.</w:t>
      </w:r>
      <w:r w:rsidRPr="00904C0C">
        <w:rPr>
          <w:rFonts w:cs="Arial"/>
          <w:b/>
        </w:rPr>
        <w:t xml:space="preserve">  </w:t>
      </w:r>
      <w:r w:rsidRPr="00904C0C">
        <w:rPr>
          <w:rFonts w:cs="Arial"/>
        </w:rPr>
        <w:t>Adult Social Care has long seen annual increases in the demand for services and the MTFS attempts to predict growth in future years largely based on reviewing current and past activity trends but also taking into account future population changes</w:t>
      </w:r>
      <w:r>
        <w:rPr>
          <w:rFonts w:cs="Arial"/>
        </w:rPr>
        <w:t>.</w:t>
      </w:r>
      <w:r w:rsidRPr="00904C0C">
        <w:rPr>
          <w:rFonts w:cs="Arial"/>
        </w:rPr>
        <w:t xml:space="preserve"> From "a social care perspective" demand covers both increasing numbers of people eligible for support and the increasing complexity of those </w:t>
      </w:r>
      <w:r>
        <w:rPr>
          <w:rFonts w:cs="Arial"/>
        </w:rPr>
        <w:t>cases</w:t>
      </w:r>
      <w:r w:rsidRPr="00904C0C">
        <w:rPr>
          <w:rFonts w:cs="Arial"/>
        </w:rPr>
        <w:t xml:space="preserve">. </w:t>
      </w:r>
    </w:p>
    <w:p w:rsidR="00A400FD" w:rsidRPr="00904C0C" w:rsidRDefault="007B1E59" w:rsidP="00A400FD">
      <w:pPr>
        <w:spacing w:after="0"/>
        <w:rPr>
          <w:rFonts w:cs="Arial"/>
        </w:rPr>
      </w:pPr>
    </w:p>
    <w:p w:rsidR="00A400FD" w:rsidRPr="00904C0C" w:rsidRDefault="00F0743D" w:rsidP="00A400FD">
      <w:pPr>
        <w:spacing w:after="0"/>
        <w:ind w:left="502"/>
        <w:rPr>
          <w:rFonts w:cs="Arial"/>
        </w:rPr>
      </w:pPr>
      <w:r w:rsidRPr="00904C0C">
        <w:rPr>
          <w:rFonts w:cs="Arial"/>
        </w:rPr>
        <w:t>All demand assumptions contained within th</w:t>
      </w:r>
      <w:r>
        <w:rPr>
          <w:rFonts w:cs="Arial"/>
        </w:rPr>
        <w:t>is revised MTFS regarding adult social c</w:t>
      </w:r>
      <w:r w:rsidRPr="00904C0C">
        <w:rPr>
          <w:rFonts w:cs="Arial"/>
        </w:rPr>
        <w:t xml:space="preserve">are have been reviewed based on the most up-to-date trend analysis. There is a </w:t>
      </w:r>
      <w:r>
        <w:rPr>
          <w:rFonts w:cs="Arial"/>
        </w:rPr>
        <w:t>decrease</w:t>
      </w:r>
      <w:r w:rsidRPr="00904C0C">
        <w:rPr>
          <w:rFonts w:cs="Arial"/>
        </w:rPr>
        <w:t xml:space="preserve"> to the forecast demand </w:t>
      </w:r>
      <w:r>
        <w:rPr>
          <w:rFonts w:cs="Arial"/>
        </w:rPr>
        <w:t>requirements</w:t>
      </w:r>
      <w:r w:rsidRPr="00904C0C">
        <w:rPr>
          <w:rFonts w:cs="Arial"/>
        </w:rPr>
        <w:t xml:space="preserve"> acr</w:t>
      </w:r>
      <w:r>
        <w:rPr>
          <w:rFonts w:cs="Arial"/>
        </w:rPr>
        <w:t xml:space="preserve">oss adults services at quarter 1 based on the 2017/18 outturn position across services. </w:t>
      </w:r>
    </w:p>
    <w:p w:rsidR="00A400FD" w:rsidRPr="00084CD2" w:rsidRDefault="007B1E59" w:rsidP="00A400FD">
      <w:pPr>
        <w:spacing w:after="0"/>
        <w:jc w:val="left"/>
        <w:rPr>
          <w:rFonts w:cs="Arial"/>
          <w:highlight w:val="yellow"/>
        </w:rPr>
      </w:pPr>
    </w:p>
    <w:p w:rsidR="00A400FD" w:rsidRPr="00176A80" w:rsidRDefault="00F0743D" w:rsidP="00A400FD">
      <w:pPr>
        <w:pStyle w:val="ListParagraph"/>
        <w:numPr>
          <w:ilvl w:val="0"/>
          <w:numId w:val="26"/>
        </w:numPr>
        <w:spacing w:after="0"/>
        <w:rPr>
          <w:rFonts w:cs="Arial"/>
        </w:rPr>
      </w:pPr>
      <w:r>
        <w:rPr>
          <w:rFonts w:cs="Arial"/>
        </w:rPr>
        <w:t>The cost of children's social c</w:t>
      </w:r>
      <w:r w:rsidRPr="00176A80">
        <w:rPr>
          <w:rFonts w:cs="Arial"/>
        </w:rPr>
        <w:t>are continues to experience increasing demand and has been increased again as part o</w:t>
      </w:r>
      <w:r>
        <w:rPr>
          <w:rFonts w:cs="Arial"/>
        </w:rPr>
        <w:t xml:space="preserve">f this update of the MTFS. The </w:t>
      </w:r>
      <w:r w:rsidRPr="00176A80">
        <w:rPr>
          <w:rFonts w:cs="Arial"/>
        </w:rPr>
        <w:t xml:space="preserve">assumption </w:t>
      </w:r>
      <w:r>
        <w:rPr>
          <w:rFonts w:cs="Arial"/>
        </w:rPr>
        <w:t xml:space="preserve">remains though </w:t>
      </w:r>
      <w:r w:rsidRPr="00176A80">
        <w:rPr>
          <w:rFonts w:cs="Arial"/>
        </w:rPr>
        <w:t xml:space="preserve">that demand will </w:t>
      </w:r>
      <w:r>
        <w:rPr>
          <w:rFonts w:cs="Arial"/>
        </w:rPr>
        <w:t xml:space="preserve">ultimately </w:t>
      </w:r>
      <w:r w:rsidRPr="00176A80">
        <w:rPr>
          <w:rFonts w:cs="Arial"/>
        </w:rPr>
        <w:t xml:space="preserve">plateau in future years, with a reducing demand increase built into </w:t>
      </w:r>
      <w:r>
        <w:rPr>
          <w:rFonts w:cs="Arial"/>
        </w:rPr>
        <w:t>the later years of the MTFS</w:t>
      </w:r>
      <w:r w:rsidRPr="00176A80">
        <w:rPr>
          <w:rFonts w:cs="Arial"/>
        </w:rPr>
        <w:t xml:space="preserve">. </w:t>
      </w:r>
    </w:p>
    <w:p w:rsidR="00A400FD" w:rsidRPr="00176A80" w:rsidRDefault="007B1E59" w:rsidP="00A400FD">
      <w:pPr>
        <w:spacing w:after="0"/>
        <w:ind w:left="142"/>
        <w:rPr>
          <w:rFonts w:cs="Arial"/>
          <w:highlight w:val="yellow"/>
        </w:rPr>
      </w:pPr>
    </w:p>
    <w:p w:rsidR="00A400FD" w:rsidRPr="00176A80" w:rsidRDefault="00F0743D" w:rsidP="00A400FD">
      <w:pPr>
        <w:spacing w:after="0"/>
        <w:ind w:left="502"/>
        <w:rPr>
          <w:rFonts w:cs="Arial"/>
        </w:rPr>
      </w:pPr>
      <w:r w:rsidRPr="00176A80">
        <w:rPr>
          <w:rFonts w:cs="Arial"/>
        </w:rPr>
        <w:t>The</w:t>
      </w:r>
      <w:r>
        <w:rPr>
          <w:rFonts w:cs="Arial"/>
        </w:rPr>
        <w:t xml:space="preserve"> demand</w:t>
      </w:r>
      <w:r w:rsidRPr="00176A80">
        <w:rPr>
          <w:rFonts w:cs="Arial"/>
        </w:rPr>
        <w:t xml:space="preserve"> pressures included in this MTFS for </w:t>
      </w:r>
      <w:r>
        <w:rPr>
          <w:rFonts w:cs="Arial"/>
        </w:rPr>
        <w:t>children's s</w:t>
      </w:r>
      <w:r w:rsidRPr="00176A80">
        <w:rPr>
          <w:rFonts w:cs="Arial"/>
        </w:rPr>
        <w:t xml:space="preserve">ervices reflects an </w:t>
      </w:r>
      <w:r>
        <w:rPr>
          <w:rFonts w:cs="Arial"/>
        </w:rPr>
        <w:t xml:space="preserve">increase </w:t>
      </w:r>
      <w:r w:rsidRPr="00176A80">
        <w:rPr>
          <w:rFonts w:cs="Arial"/>
        </w:rPr>
        <w:t>of £</w:t>
      </w:r>
      <w:r>
        <w:rPr>
          <w:rFonts w:cs="Arial"/>
        </w:rPr>
        <w:t>2.719</w:t>
      </w:r>
      <w:r w:rsidRPr="00176A80">
        <w:rPr>
          <w:rFonts w:cs="Arial"/>
        </w:rPr>
        <w:t>m when comparing the 3 years (201</w:t>
      </w:r>
      <w:r>
        <w:rPr>
          <w:rFonts w:cs="Arial"/>
        </w:rPr>
        <w:t>9/20</w:t>
      </w:r>
      <w:r w:rsidRPr="00176A80">
        <w:rPr>
          <w:rFonts w:cs="Arial"/>
        </w:rPr>
        <w:t xml:space="preserve"> – 202</w:t>
      </w:r>
      <w:r>
        <w:rPr>
          <w:rFonts w:cs="Arial"/>
        </w:rPr>
        <w:t>1</w:t>
      </w:r>
      <w:r w:rsidRPr="00176A80">
        <w:rPr>
          <w:rFonts w:cs="Arial"/>
        </w:rPr>
        <w:t>/2</w:t>
      </w:r>
      <w:r>
        <w:rPr>
          <w:rFonts w:cs="Arial"/>
        </w:rPr>
        <w:t>2</w:t>
      </w:r>
      <w:r w:rsidRPr="00176A80">
        <w:rPr>
          <w:rFonts w:cs="Arial"/>
        </w:rPr>
        <w:t xml:space="preserve">). </w:t>
      </w:r>
      <w:r>
        <w:rPr>
          <w:rFonts w:cs="Arial"/>
        </w:rPr>
        <w:t xml:space="preserve">The previous MTFS included reduced demand growth in future years, and the current update still makes assumptions relating to reduced demand increases in future years, however the pressure has had to be increased to reflect the 2017/18 outturn position and quarter 1 monitoring position. </w:t>
      </w:r>
      <w:r w:rsidRPr="00176A80">
        <w:rPr>
          <w:rFonts w:cs="Arial"/>
        </w:rPr>
        <w:t xml:space="preserve">The table also reflects an additional year's </w:t>
      </w:r>
      <w:r>
        <w:rPr>
          <w:rFonts w:cs="Arial"/>
        </w:rPr>
        <w:t>demand pressure</w:t>
      </w:r>
      <w:r w:rsidRPr="00176A80">
        <w:rPr>
          <w:rFonts w:cs="Arial"/>
        </w:rPr>
        <w:t xml:space="preserve"> of £</w:t>
      </w:r>
      <w:r>
        <w:rPr>
          <w:rFonts w:cs="Arial"/>
        </w:rPr>
        <w:t>1.415</w:t>
      </w:r>
      <w:r w:rsidRPr="00176A80">
        <w:rPr>
          <w:rFonts w:cs="Arial"/>
        </w:rPr>
        <w:t>m</w:t>
      </w:r>
      <w:r>
        <w:rPr>
          <w:rFonts w:cs="Arial"/>
        </w:rPr>
        <w:t xml:space="preserve"> for 2022/23.</w:t>
      </w:r>
      <w:r w:rsidRPr="00176A80">
        <w:rPr>
          <w:rFonts w:cs="Arial"/>
        </w:rPr>
        <w:t xml:space="preserve">This will continue to be monitored and reviewed. </w:t>
      </w:r>
    </w:p>
    <w:p w:rsidR="00A400FD" w:rsidRPr="00176A80" w:rsidRDefault="007B1E59" w:rsidP="00A400FD">
      <w:pPr>
        <w:spacing w:after="0"/>
        <w:rPr>
          <w:rFonts w:cs="Arial"/>
        </w:rPr>
      </w:pPr>
    </w:p>
    <w:p w:rsidR="00A400FD" w:rsidRDefault="00F0743D" w:rsidP="00A400FD">
      <w:pPr>
        <w:pStyle w:val="ListParagraph"/>
        <w:numPr>
          <w:ilvl w:val="0"/>
          <w:numId w:val="26"/>
        </w:numPr>
        <w:spacing w:after="0"/>
        <w:rPr>
          <w:rFonts w:cs="Arial"/>
        </w:rPr>
      </w:pPr>
      <w:r w:rsidRPr="00546CD8">
        <w:rPr>
          <w:rFonts w:cs="Arial"/>
        </w:rPr>
        <w:t>The revised MTFS continues to include a sig</w:t>
      </w:r>
      <w:r>
        <w:rPr>
          <w:rFonts w:cs="Arial"/>
        </w:rPr>
        <w:t>nificant amount in relation to waste s</w:t>
      </w:r>
      <w:r w:rsidRPr="00546CD8">
        <w:rPr>
          <w:rFonts w:cs="Arial"/>
        </w:rPr>
        <w:t>ervices demand</w:t>
      </w:r>
      <w:r w:rsidRPr="00D2458A">
        <w:rPr>
          <w:rFonts w:cs="Arial"/>
        </w:rPr>
        <w:t xml:space="preserve"> pressures,</w:t>
      </w:r>
      <w:r>
        <w:rPr>
          <w:rFonts w:cs="Arial"/>
        </w:rPr>
        <w:t xml:space="preserve"> with a</w:t>
      </w:r>
      <w:r w:rsidRPr="00D2458A">
        <w:rPr>
          <w:rFonts w:cs="Arial"/>
        </w:rPr>
        <w:t xml:space="preserve">n increase of £0.898m </w:t>
      </w:r>
      <w:r w:rsidRPr="00176A80">
        <w:rPr>
          <w:rFonts w:cs="Arial"/>
        </w:rPr>
        <w:t>when comparing the 3 years (201</w:t>
      </w:r>
      <w:r>
        <w:rPr>
          <w:rFonts w:cs="Arial"/>
        </w:rPr>
        <w:t>9/20</w:t>
      </w:r>
      <w:r w:rsidRPr="00176A80">
        <w:rPr>
          <w:rFonts w:cs="Arial"/>
        </w:rPr>
        <w:t xml:space="preserve"> – 202</w:t>
      </w:r>
      <w:r>
        <w:rPr>
          <w:rFonts w:cs="Arial"/>
        </w:rPr>
        <w:t>1</w:t>
      </w:r>
      <w:r w:rsidRPr="00176A80">
        <w:rPr>
          <w:rFonts w:cs="Arial"/>
        </w:rPr>
        <w:t>/2</w:t>
      </w:r>
      <w:r>
        <w:rPr>
          <w:rFonts w:cs="Arial"/>
        </w:rPr>
        <w:t>2</w:t>
      </w:r>
      <w:r w:rsidRPr="00176A80">
        <w:rPr>
          <w:rFonts w:cs="Arial"/>
        </w:rPr>
        <w:t>) that were in the previous MTFS.</w:t>
      </w:r>
      <w:r w:rsidRPr="00546CD8">
        <w:t xml:space="preserve"> </w:t>
      </w:r>
      <w:r w:rsidRPr="00546CD8">
        <w:rPr>
          <w:rFonts w:cs="Arial"/>
        </w:rPr>
        <w:t xml:space="preserve">The </w:t>
      </w:r>
      <w:r>
        <w:rPr>
          <w:rFonts w:cs="Arial"/>
        </w:rPr>
        <w:t xml:space="preserve">position </w:t>
      </w:r>
      <w:r w:rsidRPr="00546CD8">
        <w:rPr>
          <w:rFonts w:cs="Arial"/>
        </w:rPr>
        <w:t>also reflects an additional year's demand pressure of £2.058m</w:t>
      </w:r>
      <w:r>
        <w:rPr>
          <w:rFonts w:cs="Arial"/>
        </w:rPr>
        <w:t xml:space="preserve"> for 2022/23</w:t>
      </w:r>
      <w:r w:rsidRPr="00546CD8">
        <w:rPr>
          <w:rFonts w:cs="Arial"/>
        </w:rPr>
        <w:t>.</w:t>
      </w:r>
    </w:p>
    <w:p w:rsidR="00A400FD" w:rsidRDefault="007B1E59" w:rsidP="00A400FD">
      <w:pPr>
        <w:spacing w:after="0"/>
        <w:rPr>
          <w:rFonts w:cs="Arial"/>
        </w:rPr>
      </w:pPr>
    </w:p>
    <w:p w:rsidR="00A400FD" w:rsidRDefault="00F0743D" w:rsidP="00A400FD">
      <w:pPr>
        <w:spacing w:after="0"/>
        <w:rPr>
          <w:rFonts w:cs="Arial"/>
          <w:b/>
        </w:rPr>
      </w:pPr>
      <w:r w:rsidRPr="00A46118">
        <w:rPr>
          <w:rFonts w:cs="Arial"/>
          <w:b/>
        </w:rPr>
        <w:t xml:space="preserve">3.4 Other </w:t>
      </w:r>
    </w:p>
    <w:p w:rsidR="00A400FD" w:rsidRDefault="007B1E59" w:rsidP="00A400FD">
      <w:pPr>
        <w:spacing w:after="0"/>
        <w:rPr>
          <w:rFonts w:cs="Arial"/>
          <w:b/>
        </w:rPr>
      </w:pPr>
    </w:p>
    <w:p w:rsidR="00A400FD" w:rsidRPr="003933D8" w:rsidRDefault="00F0743D" w:rsidP="00A400FD">
      <w:pPr>
        <w:spacing w:after="0"/>
        <w:rPr>
          <w:rFonts w:cs="Arial"/>
        </w:rPr>
      </w:pPr>
      <w:r>
        <w:rPr>
          <w:rFonts w:cs="Arial"/>
        </w:rPr>
        <w:t xml:space="preserve">This reflects a small increase in grants that are expected in children's services and also the impact of the non-recurrent benefit in 2019/20 of the final year of transitional improved better care fund (iBCF) funding.  </w:t>
      </w:r>
    </w:p>
    <w:p w:rsidR="00A400FD" w:rsidRDefault="007B1E59" w:rsidP="00A400FD">
      <w:pPr>
        <w:spacing w:after="0"/>
        <w:rPr>
          <w:rFonts w:cs="Arial"/>
        </w:rPr>
      </w:pPr>
    </w:p>
    <w:p w:rsidR="00A400FD" w:rsidRDefault="00F0743D" w:rsidP="00A400FD">
      <w:pPr>
        <w:spacing w:after="0"/>
        <w:rPr>
          <w:rFonts w:cs="Arial"/>
          <w:b/>
        </w:rPr>
      </w:pPr>
      <w:r>
        <w:rPr>
          <w:rFonts w:cs="Arial"/>
          <w:b/>
        </w:rPr>
        <w:t>3.5 Minimum Revenue Provision (MRP) Policy Change</w:t>
      </w:r>
    </w:p>
    <w:p w:rsidR="00A400FD" w:rsidRDefault="007B1E59" w:rsidP="00A400FD">
      <w:pPr>
        <w:spacing w:after="0"/>
        <w:rPr>
          <w:rFonts w:cs="Arial"/>
          <w:b/>
        </w:rPr>
      </w:pPr>
    </w:p>
    <w:p w:rsidR="00A400FD" w:rsidRPr="00F153D7" w:rsidRDefault="00F0743D" w:rsidP="00A400FD">
      <w:pPr>
        <w:spacing w:after="0"/>
        <w:rPr>
          <w:rFonts w:cs="Arial"/>
        </w:rPr>
      </w:pPr>
      <w:r>
        <w:rPr>
          <w:rFonts w:cs="Arial"/>
        </w:rPr>
        <w:t xml:space="preserve">The major adjustment in the MTFS for this category of expenditure relates to the recent revision to the MRP Policy that was agreed by full council. This has resulted in a budget reduction of £8.2m in the 2019/20 budget. </w:t>
      </w:r>
    </w:p>
    <w:p w:rsidR="00A400FD" w:rsidRPr="00084CD2" w:rsidRDefault="007B1E59" w:rsidP="00A400FD">
      <w:pPr>
        <w:tabs>
          <w:tab w:val="left" w:pos="567"/>
          <w:tab w:val="left" w:pos="1134"/>
        </w:tabs>
        <w:spacing w:after="0"/>
        <w:rPr>
          <w:rFonts w:cs="Arial"/>
          <w:b/>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Pr="001657C7" w:rsidRDefault="00F0743D" w:rsidP="00A400FD">
      <w:pPr>
        <w:tabs>
          <w:tab w:val="left" w:pos="567"/>
          <w:tab w:val="left" w:pos="1134"/>
        </w:tabs>
        <w:spacing w:after="0"/>
        <w:rPr>
          <w:rFonts w:cs="Arial"/>
          <w:b/>
        </w:rPr>
      </w:pPr>
      <w:r w:rsidRPr="001657C7">
        <w:rPr>
          <w:rFonts w:cs="Arial"/>
          <w:b/>
        </w:rPr>
        <w:t>4. Reserves</w:t>
      </w:r>
    </w:p>
    <w:p w:rsidR="00A400FD" w:rsidRPr="001657C7" w:rsidRDefault="007B1E59" w:rsidP="00A400FD">
      <w:pPr>
        <w:tabs>
          <w:tab w:val="left" w:pos="567"/>
          <w:tab w:val="left" w:pos="1134"/>
        </w:tabs>
        <w:spacing w:after="0"/>
        <w:rPr>
          <w:rFonts w:cs="Arial"/>
          <w:b/>
        </w:rPr>
      </w:pPr>
    </w:p>
    <w:p w:rsidR="00A400FD" w:rsidRPr="004C48B9" w:rsidRDefault="00F0743D" w:rsidP="00A400FD">
      <w:pPr>
        <w:tabs>
          <w:tab w:val="left" w:pos="567"/>
          <w:tab w:val="left" w:pos="1134"/>
        </w:tabs>
        <w:spacing w:after="0"/>
        <w:rPr>
          <w:rFonts w:cs="Arial"/>
          <w:b/>
          <w:i/>
          <w:u w:val="single"/>
        </w:rPr>
      </w:pPr>
      <w:r w:rsidRPr="004C48B9">
        <w:rPr>
          <w:rFonts w:cs="Arial"/>
          <w:b/>
          <w:i/>
          <w:u w:val="single"/>
        </w:rPr>
        <w:t>Table 7</w:t>
      </w:r>
    </w:p>
    <w:p w:rsidR="00A400FD" w:rsidRDefault="007B1E59" w:rsidP="00A400FD">
      <w:pPr>
        <w:tabs>
          <w:tab w:val="left" w:pos="567"/>
          <w:tab w:val="left" w:pos="1134"/>
        </w:tabs>
        <w:spacing w:after="0"/>
        <w:rPr>
          <w:rFonts w:cs="Arial"/>
          <w:u w:val="single"/>
        </w:rPr>
      </w:pPr>
    </w:p>
    <w:tbl>
      <w:tblPr>
        <w:tblW w:w="11046" w:type="dxa"/>
        <w:tblInd w:w="-850" w:type="dxa"/>
        <w:tblLayout w:type="fixed"/>
        <w:tblLook w:val="04A0" w:firstRow="1" w:lastRow="0" w:firstColumn="1" w:lastColumn="0" w:noHBand="0" w:noVBand="1"/>
      </w:tblPr>
      <w:tblGrid>
        <w:gridCol w:w="2116"/>
        <w:gridCol w:w="1276"/>
        <w:gridCol w:w="1210"/>
        <w:gridCol w:w="1074"/>
        <w:gridCol w:w="1074"/>
        <w:gridCol w:w="1074"/>
        <w:gridCol w:w="1074"/>
        <w:gridCol w:w="1074"/>
        <w:gridCol w:w="1074"/>
      </w:tblGrid>
      <w:tr w:rsidR="00C54E82" w:rsidTr="00A400FD">
        <w:trPr>
          <w:trHeight w:val="1020"/>
        </w:trPr>
        <w:tc>
          <w:tcPr>
            <w:tcW w:w="211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8"/>
                <w:szCs w:val="18"/>
                <w:lang w:eastAsia="en-GB"/>
              </w:rPr>
            </w:pPr>
            <w:r w:rsidRPr="00E43184">
              <w:rPr>
                <w:rFonts w:eastAsia="Times New Roman" w:cs="Arial"/>
                <w:b/>
                <w:bCs/>
                <w:sz w:val="18"/>
                <w:szCs w:val="18"/>
                <w:lang w:eastAsia="en-GB"/>
              </w:rPr>
              <w:t>Reserve Name</w:t>
            </w:r>
          </w:p>
        </w:tc>
        <w:tc>
          <w:tcPr>
            <w:tcW w:w="1276"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Opening Balance 2018/19</w:t>
            </w:r>
          </w:p>
        </w:tc>
        <w:tc>
          <w:tcPr>
            <w:tcW w:w="1210"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2018/19 Ex</w:t>
            </w:r>
            <w:r w:rsidRPr="00E43184">
              <w:rPr>
                <w:rFonts w:eastAsia="Times New Roman" w:cs="Arial"/>
                <w:b/>
                <w:bCs/>
                <w:sz w:val="16"/>
                <w:szCs w:val="16"/>
                <w:lang w:eastAsia="en-GB"/>
              </w:rPr>
              <w:t>penditure</w:t>
            </w:r>
          </w:p>
        </w:tc>
        <w:tc>
          <w:tcPr>
            <w:tcW w:w="1074"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2018/19 transfers to / from other reserves</w:t>
            </w:r>
          </w:p>
        </w:tc>
        <w:tc>
          <w:tcPr>
            <w:tcW w:w="1074"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2018-19 Transfers from revenue budget</w:t>
            </w:r>
          </w:p>
        </w:tc>
        <w:tc>
          <w:tcPr>
            <w:tcW w:w="1074"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2018/19 Forecast Closing Balance</w:t>
            </w:r>
          </w:p>
        </w:tc>
        <w:tc>
          <w:tcPr>
            <w:tcW w:w="1074"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2019/20 Forecast Spend</w:t>
            </w:r>
          </w:p>
        </w:tc>
        <w:tc>
          <w:tcPr>
            <w:tcW w:w="1074" w:type="dxa"/>
            <w:tcBorders>
              <w:top w:val="single" w:sz="8" w:space="0" w:color="auto"/>
              <w:left w:val="nil"/>
              <w:bottom w:val="single" w:sz="4"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2020/21 Forecast Spend</w:t>
            </w:r>
          </w:p>
        </w:tc>
        <w:tc>
          <w:tcPr>
            <w:tcW w:w="1074" w:type="dxa"/>
            <w:tcBorders>
              <w:top w:val="single" w:sz="8" w:space="0" w:color="auto"/>
              <w:left w:val="nil"/>
              <w:bottom w:val="single" w:sz="4" w:space="0" w:color="auto"/>
              <w:right w:val="single" w:sz="8" w:space="0" w:color="auto"/>
            </w:tcBorders>
            <w:shd w:val="clear" w:color="000000" w:fill="BFBFBF"/>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Total as at 31 March 2021</w:t>
            </w:r>
          </w:p>
        </w:tc>
      </w:tr>
      <w:tr w:rsidR="00C54E82" w:rsidTr="00A400FD">
        <w:trPr>
          <w:trHeight w:val="255"/>
        </w:trPr>
        <w:tc>
          <w:tcPr>
            <w:tcW w:w="2116" w:type="dxa"/>
            <w:tcBorders>
              <w:top w:val="nil"/>
              <w:left w:val="single" w:sz="8" w:space="0" w:color="auto"/>
              <w:bottom w:val="single" w:sz="4" w:space="0" w:color="auto"/>
              <w:right w:val="single" w:sz="4" w:space="0" w:color="auto"/>
            </w:tcBorders>
            <w:shd w:val="clear" w:color="000000" w:fill="BFBFBF"/>
            <w:vAlign w:val="bottom"/>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210"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 </w:t>
            </w:r>
          </w:p>
        </w:tc>
        <w:tc>
          <w:tcPr>
            <w:tcW w:w="1074" w:type="dxa"/>
            <w:tcBorders>
              <w:top w:val="nil"/>
              <w:left w:val="nil"/>
              <w:bottom w:val="single" w:sz="4" w:space="0" w:color="auto"/>
              <w:right w:val="single" w:sz="4" w:space="0" w:color="auto"/>
            </w:tcBorders>
            <w:shd w:val="clear" w:color="000000" w:fill="BFBFBF"/>
            <w:noWrap/>
            <w:vAlign w:val="bottom"/>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074" w:type="dxa"/>
            <w:tcBorders>
              <w:top w:val="nil"/>
              <w:left w:val="nil"/>
              <w:bottom w:val="single" w:sz="4" w:space="0" w:color="auto"/>
              <w:right w:val="single" w:sz="4" w:space="0" w:color="auto"/>
            </w:tcBorders>
            <w:shd w:val="clear" w:color="000000" w:fill="BFBFBF"/>
            <w:noWrap/>
            <w:vAlign w:val="bottom"/>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074" w:type="dxa"/>
            <w:tcBorders>
              <w:top w:val="nil"/>
              <w:left w:val="nil"/>
              <w:bottom w:val="single" w:sz="4" w:space="0" w:color="auto"/>
              <w:right w:val="single" w:sz="4" w:space="0" w:color="auto"/>
            </w:tcBorders>
            <w:shd w:val="clear" w:color="000000" w:fill="BFBFBF"/>
            <w:noWrap/>
            <w:vAlign w:val="bottom"/>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c>
          <w:tcPr>
            <w:tcW w:w="1074" w:type="dxa"/>
            <w:tcBorders>
              <w:top w:val="nil"/>
              <w:left w:val="nil"/>
              <w:bottom w:val="single" w:sz="4" w:space="0" w:color="auto"/>
              <w:right w:val="single" w:sz="8" w:space="0" w:color="auto"/>
            </w:tcBorders>
            <w:shd w:val="clear" w:color="000000" w:fill="BFBFBF"/>
            <w:noWrap/>
            <w:vAlign w:val="bottom"/>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£m</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County Fund</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-23.437</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-23.437</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-23.437</w:t>
            </w:r>
          </w:p>
        </w:tc>
      </w:tr>
      <w:tr w:rsidR="00C54E82" w:rsidTr="00A400FD">
        <w:trPr>
          <w:trHeight w:val="638"/>
        </w:trPr>
        <w:tc>
          <w:tcPr>
            <w:tcW w:w="2116" w:type="dxa"/>
            <w:tcBorders>
              <w:top w:val="nil"/>
              <w:left w:val="single" w:sz="8" w:space="0" w:color="auto"/>
              <w:bottom w:val="single" w:sz="8"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left"/>
              <w:rPr>
                <w:rFonts w:eastAsia="Times New Roman" w:cs="Arial"/>
                <w:b/>
                <w:bCs/>
                <w:sz w:val="16"/>
                <w:szCs w:val="16"/>
                <w:lang w:eastAsia="en-GB"/>
              </w:rPr>
            </w:pPr>
            <w:r w:rsidRPr="00E43184">
              <w:rPr>
                <w:rFonts w:eastAsia="Times New Roman" w:cs="Arial"/>
                <w:b/>
                <w:bCs/>
                <w:sz w:val="16"/>
                <w:szCs w:val="16"/>
                <w:lang w:eastAsia="en-GB"/>
              </w:rPr>
              <w:t>SUB TOTAL - COUNTY FUND</w:t>
            </w:r>
          </w:p>
        </w:tc>
        <w:tc>
          <w:tcPr>
            <w:tcW w:w="1276"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-23.437</w:t>
            </w:r>
          </w:p>
        </w:tc>
        <w:tc>
          <w:tcPr>
            <w:tcW w:w="1210"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-23.437</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-23.437</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Strategic Investment Reserve</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-3.765</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0.740</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1.679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single" w:sz="4" w:space="0" w:color="auto"/>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-1.346</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0.850</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0.350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-0.146</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Downsizing Reserve</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-13.891</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3.346</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5.941</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-4.605</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4.605</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 xml:space="preserve">Risk Management Reserve </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-5.402</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3.449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-0.816</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-2.769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1.169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0.800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-0.800</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Transitional Reserve</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-155.066</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50.641</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-10.579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-11.025</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-126.029</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0.826</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0.194</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-125.009</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 xml:space="preserve">Service Reserves </w:t>
            </w:r>
          </w:p>
        </w:tc>
        <w:tc>
          <w:tcPr>
            <w:tcW w:w="1276"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-19.118</w:t>
            </w:r>
          </w:p>
        </w:tc>
        <w:tc>
          <w:tcPr>
            <w:tcW w:w="1210"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11.044</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3.775</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-4.298</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2.753</w:t>
            </w:r>
          </w:p>
        </w:tc>
        <w:tc>
          <w:tcPr>
            <w:tcW w:w="1074" w:type="dxa"/>
            <w:tcBorders>
              <w:top w:val="nil"/>
              <w:left w:val="nil"/>
              <w:bottom w:val="single" w:sz="4" w:space="0" w:color="auto"/>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0.762</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-0.784</w:t>
            </w:r>
          </w:p>
        </w:tc>
      </w:tr>
      <w:tr w:rsidR="00C54E82" w:rsidTr="00A400FD">
        <w:trPr>
          <w:trHeight w:val="638"/>
        </w:trPr>
        <w:tc>
          <w:tcPr>
            <w:tcW w:w="2116" w:type="dxa"/>
            <w:tcBorders>
              <w:top w:val="nil"/>
              <w:left w:val="single" w:sz="8" w:space="0" w:color="auto"/>
              <w:bottom w:val="nil"/>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Treasury Management Reserve</w:t>
            </w:r>
          </w:p>
        </w:tc>
        <w:tc>
          <w:tcPr>
            <w:tcW w:w="1276"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-10.000</w:t>
            </w:r>
          </w:p>
        </w:tc>
        <w:tc>
          <w:tcPr>
            <w:tcW w:w="1210"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nil"/>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-10.000</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-10.000</w:t>
            </w:r>
          </w:p>
        </w:tc>
      </w:tr>
      <w:tr w:rsidR="00C54E82" w:rsidTr="00A400FD">
        <w:trPr>
          <w:trHeight w:val="638"/>
        </w:trPr>
        <w:tc>
          <w:tcPr>
            <w:tcW w:w="2116"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left"/>
              <w:rPr>
                <w:rFonts w:eastAsia="Times New Roman" w:cs="Arial"/>
                <w:b/>
                <w:bCs/>
                <w:sz w:val="16"/>
                <w:szCs w:val="16"/>
                <w:lang w:eastAsia="en-GB"/>
              </w:rPr>
            </w:pPr>
            <w:r w:rsidRPr="00E43184">
              <w:rPr>
                <w:rFonts w:eastAsia="Times New Roman" w:cs="Arial"/>
                <w:b/>
                <w:bCs/>
                <w:sz w:val="16"/>
                <w:szCs w:val="16"/>
                <w:lang w:eastAsia="en-GB"/>
              </w:rPr>
              <w:t>SUB TOTAL - LCC RESERVES</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-207.242</w:t>
            </w:r>
          </w:p>
        </w:tc>
        <w:tc>
          <w:tcPr>
            <w:tcW w:w="1210"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69.221</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-11.025</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-149.047</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10.202</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2.106</w:t>
            </w:r>
          </w:p>
        </w:tc>
        <w:tc>
          <w:tcPr>
            <w:tcW w:w="1074" w:type="dxa"/>
            <w:tcBorders>
              <w:top w:val="nil"/>
              <w:left w:val="nil"/>
              <w:bottom w:val="single" w:sz="8"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-136.739</w:t>
            </w:r>
          </w:p>
        </w:tc>
      </w:tr>
      <w:tr w:rsidR="00C54E82" w:rsidTr="00A400FD">
        <w:trPr>
          <w:trHeight w:val="638"/>
        </w:trPr>
        <w:tc>
          <w:tcPr>
            <w:tcW w:w="2116" w:type="dxa"/>
            <w:tcBorders>
              <w:top w:val="nil"/>
              <w:left w:val="single" w:sz="8" w:space="0" w:color="auto"/>
              <w:bottom w:val="single" w:sz="4" w:space="0" w:color="auto"/>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sz w:val="16"/>
                <w:szCs w:val="16"/>
                <w:lang w:eastAsia="en-GB"/>
              </w:rPr>
            </w:pPr>
            <w:r w:rsidRPr="00E43184">
              <w:rPr>
                <w:rFonts w:eastAsia="Times New Roman" w:cs="Arial"/>
                <w:sz w:val="16"/>
                <w:szCs w:val="16"/>
                <w:lang w:eastAsia="en-GB"/>
              </w:rPr>
              <w:t>Schools/Non-LCC Service Reserves</w:t>
            </w:r>
          </w:p>
        </w:tc>
        <w:tc>
          <w:tcPr>
            <w:tcW w:w="1276"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-16.521</w:t>
            </w:r>
          </w:p>
        </w:tc>
        <w:tc>
          <w:tcPr>
            <w:tcW w:w="1210"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1.599</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0.000</w:t>
            </w:r>
          </w:p>
        </w:tc>
        <w:tc>
          <w:tcPr>
            <w:tcW w:w="1074" w:type="dxa"/>
            <w:tcBorders>
              <w:top w:val="nil"/>
              <w:left w:val="nil"/>
              <w:bottom w:val="single" w:sz="4"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-14.922</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-1.017</w:t>
            </w:r>
          </w:p>
        </w:tc>
        <w:tc>
          <w:tcPr>
            <w:tcW w:w="1074" w:type="dxa"/>
            <w:tcBorders>
              <w:top w:val="nil"/>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-1.020</w:t>
            </w:r>
          </w:p>
        </w:tc>
        <w:tc>
          <w:tcPr>
            <w:tcW w:w="1074" w:type="dxa"/>
            <w:tcBorders>
              <w:top w:val="nil"/>
              <w:left w:val="nil"/>
              <w:bottom w:val="single" w:sz="4"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-16.959</w:t>
            </w:r>
          </w:p>
        </w:tc>
      </w:tr>
      <w:tr w:rsidR="00C54E82" w:rsidTr="00A400FD">
        <w:trPr>
          <w:trHeight w:val="420"/>
        </w:trPr>
        <w:tc>
          <w:tcPr>
            <w:tcW w:w="2116" w:type="dxa"/>
            <w:tcBorders>
              <w:top w:val="nil"/>
              <w:left w:val="single" w:sz="8" w:space="0" w:color="auto"/>
              <w:bottom w:val="single" w:sz="8"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left"/>
              <w:rPr>
                <w:rFonts w:eastAsia="Times New Roman" w:cs="Arial"/>
                <w:b/>
                <w:bCs/>
                <w:sz w:val="16"/>
                <w:szCs w:val="16"/>
                <w:lang w:eastAsia="en-GB"/>
              </w:rPr>
            </w:pPr>
            <w:r w:rsidRPr="00E43184">
              <w:rPr>
                <w:rFonts w:eastAsia="Times New Roman" w:cs="Arial"/>
                <w:b/>
                <w:bCs/>
                <w:sz w:val="16"/>
                <w:szCs w:val="16"/>
                <w:lang w:eastAsia="en-GB"/>
              </w:rPr>
              <w:t>SUB TOTAL SCHOOLS/NON LCC RESERVES</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-16.521</w:t>
            </w:r>
          </w:p>
        </w:tc>
        <w:tc>
          <w:tcPr>
            <w:tcW w:w="1210"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1.599</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nil"/>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-14.922</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-1.017</w:t>
            </w:r>
          </w:p>
        </w:tc>
        <w:tc>
          <w:tcPr>
            <w:tcW w:w="1074" w:type="dxa"/>
            <w:tcBorders>
              <w:top w:val="single" w:sz="4"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-1.020</w:t>
            </w:r>
          </w:p>
        </w:tc>
        <w:tc>
          <w:tcPr>
            <w:tcW w:w="1074" w:type="dxa"/>
            <w:tcBorders>
              <w:top w:val="nil"/>
              <w:left w:val="nil"/>
              <w:bottom w:val="single" w:sz="8"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-16.959</w:t>
            </w:r>
          </w:p>
        </w:tc>
      </w:tr>
      <w:tr w:rsidR="00C54E82" w:rsidTr="00A400FD">
        <w:trPr>
          <w:trHeight w:val="300"/>
        </w:trPr>
        <w:tc>
          <w:tcPr>
            <w:tcW w:w="2116" w:type="dxa"/>
            <w:tcBorders>
              <w:top w:val="single" w:sz="4" w:space="0" w:color="auto"/>
              <w:left w:val="single" w:sz="8" w:space="0" w:color="auto"/>
              <w:bottom w:val="nil"/>
              <w:right w:val="single" w:sz="4" w:space="0" w:color="auto"/>
            </w:tcBorders>
            <w:shd w:val="clear" w:color="auto" w:fill="auto"/>
            <w:vAlign w:val="center"/>
            <w:hideMark/>
          </w:tcPr>
          <w:p w:rsidR="00A400FD" w:rsidRPr="00E43184" w:rsidRDefault="00F0743D" w:rsidP="00A400FD">
            <w:pPr>
              <w:autoSpaceDE/>
              <w:autoSpaceDN/>
              <w:adjustRightInd/>
              <w:spacing w:after="0"/>
              <w:jc w:val="left"/>
              <w:rPr>
                <w:rFonts w:eastAsia="Times New Roman" w:cs="Arial"/>
                <w:i/>
                <w:iCs/>
                <w:sz w:val="16"/>
                <w:szCs w:val="16"/>
                <w:lang w:eastAsia="en-GB"/>
              </w:rPr>
            </w:pPr>
            <w:r w:rsidRPr="00E43184">
              <w:rPr>
                <w:rFonts w:eastAsia="Times New Roman" w:cs="Arial"/>
                <w:i/>
                <w:iCs/>
                <w:sz w:val="16"/>
                <w:szCs w:val="16"/>
                <w:lang w:eastAsia="en-GB"/>
              </w:rPr>
              <w:t> </w:t>
            </w:r>
          </w:p>
        </w:tc>
        <w:tc>
          <w:tcPr>
            <w:tcW w:w="1276"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 </w:t>
            </w:r>
          </w:p>
        </w:tc>
        <w:tc>
          <w:tcPr>
            <w:tcW w:w="1210"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 </w:t>
            </w:r>
          </w:p>
        </w:tc>
        <w:tc>
          <w:tcPr>
            <w:tcW w:w="1074"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 </w:t>
            </w:r>
          </w:p>
        </w:tc>
        <w:tc>
          <w:tcPr>
            <w:tcW w:w="1074"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 </w:t>
            </w:r>
          </w:p>
        </w:tc>
        <w:tc>
          <w:tcPr>
            <w:tcW w:w="1074"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sz w:val="16"/>
                <w:szCs w:val="16"/>
                <w:lang w:eastAsia="en-GB"/>
              </w:rPr>
            </w:pPr>
            <w:r w:rsidRPr="00E43184">
              <w:rPr>
                <w:rFonts w:eastAsia="Times New Roman" w:cs="Arial"/>
                <w:sz w:val="16"/>
                <w:szCs w:val="16"/>
                <w:lang w:eastAsia="en-GB"/>
              </w:rPr>
              <w:t> </w:t>
            </w:r>
          </w:p>
        </w:tc>
        <w:tc>
          <w:tcPr>
            <w:tcW w:w="1074"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i/>
                <w:iCs/>
                <w:sz w:val="16"/>
                <w:szCs w:val="16"/>
                <w:lang w:eastAsia="en-GB"/>
              </w:rPr>
            </w:pPr>
            <w:r w:rsidRPr="00E43184">
              <w:rPr>
                <w:rFonts w:eastAsia="Times New Roman" w:cs="Arial"/>
                <w:i/>
                <w:iCs/>
                <w:sz w:val="16"/>
                <w:szCs w:val="16"/>
                <w:lang w:eastAsia="en-GB"/>
              </w:rPr>
              <w:t> </w:t>
            </w:r>
          </w:p>
        </w:tc>
        <w:tc>
          <w:tcPr>
            <w:tcW w:w="1074" w:type="dxa"/>
            <w:tcBorders>
              <w:top w:val="single" w:sz="4" w:space="0" w:color="auto"/>
              <w:left w:val="nil"/>
              <w:bottom w:val="nil"/>
              <w:right w:val="single" w:sz="4"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i/>
                <w:iCs/>
                <w:sz w:val="16"/>
                <w:szCs w:val="16"/>
                <w:lang w:eastAsia="en-GB"/>
              </w:rPr>
            </w:pPr>
            <w:r w:rsidRPr="00E43184">
              <w:rPr>
                <w:rFonts w:eastAsia="Times New Roman" w:cs="Arial"/>
                <w:i/>
                <w:iCs/>
                <w:sz w:val="16"/>
                <w:szCs w:val="16"/>
                <w:lang w:eastAsia="en-GB"/>
              </w:rPr>
              <w:t> </w:t>
            </w:r>
          </w:p>
        </w:tc>
        <w:tc>
          <w:tcPr>
            <w:tcW w:w="1074" w:type="dxa"/>
            <w:tcBorders>
              <w:top w:val="nil"/>
              <w:left w:val="nil"/>
              <w:bottom w:val="nil"/>
              <w:right w:val="single" w:sz="8" w:space="0" w:color="auto"/>
            </w:tcBorders>
            <w:shd w:val="clear" w:color="auto" w:fill="auto"/>
            <w:noWrap/>
            <w:vAlign w:val="center"/>
            <w:hideMark/>
          </w:tcPr>
          <w:p w:rsidR="00A400FD" w:rsidRPr="00E43184" w:rsidRDefault="00F0743D" w:rsidP="00A400FD">
            <w:pPr>
              <w:autoSpaceDE/>
              <w:autoSpaceDN/>
              <w:adjustRightInd/>
              <w:spacing w:after="0"/>
              <w:jc w:val="center"/>
              <w:rPr>
                <w:rFonts w:eastAsia="Times New Roman" w:cs="Arial"/>
                <w:i/>
                <w:iCs/>
                <w:sz w:val="16"/>
                <w:szCs w:val="16"/>
                <w:lang w:eastAsia="en-GB"/>
              </w:rPr>
            </w:pPr>
            <w:r w:rsidRPr="00E43184">
              <w:rPr>
                <w:rFonts w:eastAsia="Times New Roman" w:cs="Arial"/>
                <w:i/>
                <w:iCs/>
                <w:sz w:val="16"/>
                <w:szCs w:val="16"/>
                <w:lang w:eastAsia="en-GB"/>
              </w:rPr>
              <w:t> </w:t>
            </w:r>
          </w:p>
        </w:tc>
      </w:tr>
      <w:tr w:rsidR="00C54E82" w:rsidTr="00A400FD">
        <w:trPr>
          <w:trHeight w:val="420"/>
        </w:trPr>
        <w:tc>
          <w:tcPr>
            <w:tcW w:w="2116"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A400FD" w:rsidRPr="00E43184" w:rsidRDefault="00F0743D" w:rsidP="00A400FD">
            <w:pPr>
              <w:autoSpaceDE/>
              <w:autoSpaceDN/>
              <w:adjustRightInd/>
              <w:spacing w:after="0"/>
              <w:jc w:val="left"/>
              <w:rPr>
                <w:rFonts w:eastAsia="Times New Roman" w:cs="Arial"/>
                <w:b/>
                <w:bCs/>
                <w:sz w:val="16"/>
                <w:szCs w:val="16"/>
                <w:lang w:eastAsia="en-GB"/>
              </w:rPr>
            </w:pPr>
            <w:r w:rsidRPr="00E43184">
              <w:rPr>
                <w:rFonts w:eastAsia="Times New Roman" w:cs="Arial"/>
                <w:b/>
                <w:bCs/>
                <w:sz w:val="16"/>
                <w:szCs w:val="16"/>
                <w:lang w:eastAsia="en-GB"/>
              </w:rPr>
              <w:t>GRAND TOTAL</w:t>
            </w:r>
          </w:p>
        </w:tc>
        <w:tc>
          <w:tcPr>
            <w:tcW w:w="1276"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-247.201</w:t>
            </w:r>
          </w:p>
        </w:tc>
        <w:tc>
          <w:tcPr>
            <w:tcW w:w="1210"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70.820</w:t>
            </w:r>
          </w:p>
        </w:tc>
        <w:tc>
          <w:tcPr>
            <w:tcW w:w="1074"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0.000</w:t>
            </w:r>
          </w:p>
        </w:tc>
        <w:tc>
          <w:tcPr>
            <w:tcW w:w="1074"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-11.025</w:t>
            </w:r>
          </w:p>
        </w:tc>
        <w:tc>
          <w:tcPr>
            <w:tcW w:w="1074"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-187.406</w:t>
            </w:r>
          </w:p>
        </w:tc>
        <w:tc>
          <w:tcPr>
            <w:tcW w:w="1074"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9.185</w:t>
            </w:r>
          </w:p>
        </w:tc>
        <w:tc>
          <w:tcPr>
            <w:tcW w:w="1074" w:type="dxa"/>
            <w:tcBorders>
              <w:top w:val="single" w:sz="8" w:space="0" w:color="auto"/>
              <w:left w:val="nil"/>
              <w:bottom w:val="single" w:sz="8" w:space="0" w:color="auto"/>
              <w:right w:val="single" w:sz="4"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1.086</w:t>
            </w:r>
          </w:p>
        </w:tc>
        <w:tc>
          <w:tcPr>
            <w:tcW w:w="1074" w:type="dxa"/>
            <w:tcBorders>
              <w:top w:val="single" w:sz="8" w:space="0" w:color="auto"/>
              <w:left w:val="nil"/>
              <w:bottom w:val="single" w:sz="8" w:space="0" w:color="auto"/>
              <w:right w:val="single" w:sz="8" w:space="0" w:color="auto"/>
            </w:tcBorders>
            <w:shd w:val="clear" w:color="000000" w:fill="BFBFBF"/>
            <w:noWrap/>
            <w:vAlign w:val="center"/>
            <w:hideMark/>
          </w:tcPr>
          <w:p w:rsidR="00A400FD" w:rsidRPr="00E43184" w:rsidRDefault="00F0743D" w:rsidP="00A400FD">
            <w:pPr>
              <w:autoSpaceDE/>
              <w:autoSpaceDN/>
              <w:adjustRightInd/>
              <w:spacing w:after="0"/>
              <w:jc w:val="center"/>
              <w:rPr>
                <w:rFonts w:eastAsia="Times New Roman" w:cs="Arial"/>
                <w:b/>
                <w:bCs/>
                <w:sz w:val="16"/>
                <w:szCs w:val="16"/>
                <w:lang w:eastAsia="en-GB"/>
              </w:rPr>
            </w:pPr>
            <w:r w:rsidRPr="00E43184">
              <w:rPr>
                <w:rFonts w:eastAsia="Times New Roman" w:cs="Arial"/>
                <w:b/>
                <w:bCs/>
                <w:sz w:val="16"/>
                <w:szCs w:val="16"/>
                <w:lang w:eastAsia="en-GB"/>
              </w:rPr>
              <w:t>-177.135</w:t>
            </w:r>
          </w:p>
        </w:tc>
      </w:tr>
    </w:tbl>
    <w:p w:rsidR="00A400FD" w:rsidRDefault="007B1E59" w:rsidP="00A400FD">
      <w:pPr>
        <w:tabs>
          <w:tab w:val="left" w:pos="567"/>
          <w:tab w:val="left" w:pos="1134"/>
        </w:tabs>
        <w:spacing w:after="0"/>
        <w:rPr>
          <w:rFonts w:cs="Arial"/>
          <w:u w:val="single"/>
        </w:rPr>
      </w:pPr>
    </w:p>
    <w:p w:rsidR="00A400FD" w:rsidRPr="00924D8E" w:rsidRDefault="00F0743D" w:rsidP="00A400FD">
      <w:pPr>
        <w:spacing w:after="0"/>
        <w:ind w:right="-24"/>
        <w:rPr>
          <w:rFonts w:cs="Arial"/>
        </w:rPr>
      </w:pPr>
      <w:r>
        <w:rPr>
          <w:rFonts w:cs="Arial"/>
        </w:rPr>
        <w:t>The c</w:t>
      </w:r>
      <w:r w:rsidRPr="00924D8E">
        <w:rPr>
          <w:rFonts w:cs="Arial"/>
        </w:rPr>
        <w:t xml:space="preserve">ounty </w:t>
      </w:r>
      <w:r>
        <w:rPr>
          <w:rFonts w:cs="Arial"/>
        </w:rPr>
        <w:t xml:space="preserve">fund shown </w:t>
      </w:r>
      <w:r w:rsidRPr="004C48B9">
        <w:rPr>
          <w:rFonts w:cs="Arial"/>
        </w:rPr>
        <w:t>at the top of Table 7 is the</w:t>
      </w:r>
      <w:r w:rsidRPr="00924D8E">
        <w:rPr>
          <w:rFonts w:cs="Arial"/>
        </w:rPr>
        <w:t xml:space="preserve"> balance set aside to cover the authority against a serious emergency situation (e.g. widespread flooding); a critical and unexpected loss of income to the authority and for general cash flow purposes.  In considering these various factors the </w:t>
      </w:r>
      <w:r>
        <w:rPr>
          <w:rFonts w:cs="Arial"/>
        </w:rPr>
        <w:t>c</w:t>
      </w:r>
      <w:r w:rsidRPr="00924D8E">
        <w:rPr>
          <w:rFonts w:cs="Arial"/>
        </w:rPr>
        <w:t xml:space="preserve">ounty </w:t>
      </w:r>
      <w:r>
        <w:rPr>
          <w:rFonts w:cs="Arial"/>
        </w:rPr>
        <w:t>c</w:t>
      </w:r>
      <w:r w:rsidRPr="00924D8E">
        <w:rPr>
          <w:rFonts w:cs="Arial"/>
        </w:rPr>
        <w:t xml:space="preserve">ouncil is forecast to </w:t>
      </w:r>
      <w:r>
        <w:rPr>
          <w:rFonts w:cs="Arial"/>
        </w:rPr>
        <w:t>maintain its</w:t>
      </w:r>
      <w:r w:rsidRPr="00924D8E">
        <w:rPr>
          <w:rFonts w:cs="Arial"/>
        </w:rPr>
        <w:t xml:space="preserve"> County Fund balance at £23.437m. </w:t>
      </w:r>
    </w:p>
    <w:p w:rsidR="00A400FD" w:rsidRPr="00084CD2" w:rsidRDefault="007B1E59" w:rsidP="00A400FD">
      <w:pPr>
        <w:spacing w:after="0"/>
        <w:ind w:right="-24"/>
        <w:rPr>
          <w:rFonts w:cs="Arial"/>
          <w:highlight w:val="yellow"/>
        </w:rPr>
      </w:pPr>
    </w:p>
    <w:p w:rsidR="00A400FD" w:rsidRPr="00084CD2" w:rsidRDefault="00F0743D" w:rsidP="00A400FD">
      <w:pPr>
        <w:tabs>
          <w:tab w:val="left" w:pos="567"/>
          <w:tab w:val="left" w:pos="1134"/>
        </w:tabs>
        <w:spacing w:after="0"/>
        <w:rPr>
          <w:rFonts w:cs="Arial"/>
          <w:highlight w:val="yellow"/>
        </w:rPr>
      </w:pPr>
      <w:r w:rsidRPr="00924D8E">
        <w:rPr>
          <w:rFonts w:cs="Arial"/>
        </w:rPr>
        <w:t>The table above shows that the forecast value of the uncommitted Transitional Reserve is currently £1</w:t>
      </w:r>
      <w:r>
        <w:rPr>
          <w:rFonts w:cs="Arial"/>
        </w:rPr>
        <w:t>25.009</w:t>
      </w:r>
      <w:r w:rsidRPr="00924D8E">
        <w:rPr>
          <w:rFonts w:cs="Arial"/>
        </w:rPr>
        <w:t xml:space="preserve">m and whilst it is anticipated that further revenue savings for 2019/20 and beyond will be identified, the impact of utilising the Transitional Reserve </w:t>
      </w:r>
      <w:r w:rsidRPr="004C48B9">
        <w:rPr>
          <w:rFonts w:cs="Arial"/>
        </w:rPr>
        <w:t>to fund the £6</w:t>
      </w:r>
      <w:r>
        <w:rPr>
          <w:rFonts w:cs="Arial"/>
        </w:rPr>
        <w:t>0</w:t>
      </w:r>
      <w:r w:rsidRPr="004C48B9">
        <w:rPr>
          <w:rFonts w:cs="Arial"/>
        </w:rPr>
        <w:t>.596m gap would leave £</w:t>
      </w:r>
      <w:r>
        <w:rPr>
          <w:rFonts w:cs="Arial"/>
        </w:rPr>
        <w:t>64</w:t>
      </w:r>
      <w:r w:rsidRPr="004C48B9">
        <w:rPr>
          <w:rFonts w:cs="Arial"/>
        </w:rPr>
        <w:t>.413m available for use in 2020/21 based on current forecasts</w:t>
      </w:r>
      <w:r>
        <w:rPr>
          <w:rFonts w:cs="Arial"/>
        </w:rPr>
        <w:t xml:space="preserve"> (as shown in Table 8)</w:t>
      </w:r>
      <w:r w:rsidRPr="004C48B9">
        <w:rPr>
          <w:rFonts w:cs="Arial"/>
        </w:rPr>
        <w:t xml:space="preserve">. </w:t>
      </w:r>
      <w:r w:rsidRPr="001279B7">
        <w:rPr>
          <w:rFonts w:cs="Arial"/>
        </w:rPr>
        <w:t xml:space="preserve">Work continues on the identification of savings, primarily through the completion of service challenges being undertaken </w:t>
      </w:r>
      <w:r>
        <w:rPr>
          <w:rFonts w:cs="Arial"/>
        </w:rPr>
        <w:t>for all services with the ou</w:t>
      </w:r>
      <w:r w:rsidRPr="001279B7">
        <w:rPr>
          <w:rFonts w:cs="Arial"/>
        </w:rPr>
        <w:t xml:space="preserve">tcomes </w:t>
      </w:r>
      <w:r>
        <w:rPr>
          <w:rFonts w:cs="Arial"/>
        </w:rPr>
        <w:t>to</w:t>
      </w:r>
      <w:r w:rsidRPr="001279B7">
        <w:rPr>
          <w:rFonts w:cs="Arial"/>
        </w:rPr>
        <w:t xml:space="preserve"> be brought to the December Cabinet meeting for decisions to be taken. </w:t>
      </w:r>
    </w:p>
    <w:p w:rsidR="00A400FD" w:rsidRDefault="007B1E59" w:rsidP="00A400FD">
      <w:pPr>
        <w:tabs>
          <w:tab w:val="left" w:pos="567"/>
          <w:tab w:val="left" w:pos="1134"/>
        </w:tabs>
        <w:spacing w:after="0"/>
        <w:rPr>
          <w:rFonts w:cs="Arial"/>
          <w:highlight w:val="yellow"/>
        </w:rPr>
      </w:pPr>
    </w:p>
    <w:p w:rsidR="00A400FD" w:rsidRPr="004C48B9" w:rsidRDefault="00F0743D" w:rsidP="00A400FD">
      <w:pPr>
        <w:tabs>
          <w:tab w:val="left" w:pos="567"/>
          <w:tab w:val="left" w:pos="1134"/>
        </w:tabs>
        <w:spacing w:after="0"/>
        <w:rPr>
          <w:rFonts w:cs="Arial"/>
          <w:b/>
          <w:i/>
          <w:u w:val="single"/>
        </w:rPr>
      </w:pPr>
      <w:r w:rsidRPr="004C48B9">
        <w:rPr>
          <w:rFonts w:cs="Arial"/>
          <w:b/>
          <w:i/>
          <w:u w:val="single"/>
        </w:rPr>
        <w:t>Table 8</w:t>
      </w:r>
    </w:p>
    <w:p w:rsidR="00A400FD" w:rsidRDefault="007B1E59" w:rsidP="00A400FD">
      <w:pPr>
        <w:spacing w:after="0"/>
        <w:ind w:right="-24"/>
        <w:rPr>
          <w:rFonts w:cs="Arial"/>
          <w:highlight w:val="yellow"/>
        </w:rPr>
      </w:pPr>
    </w:p>
    <w:tbl>
      <w:tblPr>
        <w:tblStyle w:val="TableGrid"/>
        <w:tblW w:w="0" w:type="auto"/>
        <w:tblLook w:val="04A0" w:firstRow="1" w:lastRow="0" w:firstColumn="1" w:lastColumn="0" w:noHBand="0" w:noVBand="1"/>
      </w:tblPr>
      <w:tblGrid>
        <w:gridCol w:w="4957"/>
        <w:gridCol w:w="1701"/>
        <w:gridCol w:w="1984"/>
      </w:tblGrid>
      <w:tr w:rsidR="00C54E82" w:rsidTr="00A400FD">
        <w:tc>
          <w:tcPr>
            <w:tcW w:w="4957" w:type="dxa"/>
            <w:shd w:val="clear" w:color="auto" w:fill="auto"/>
          </w:tcPr>
          <w:p w:rsidR="00A400FD" w:rsidRPr="00E43184" w:rsidRDefault="007B1E59" w:rsidP="00A400FD">
            <w:pPr>
              <w:spacing w:after="0"/>
              <w:ind w:right="-24"/>
              <w:jc w:val="center"/>
              <w:rPr>
                <w:rFonts w:cs="Arial"/>
              </w:rPr>
            </w:pPr>
          </w:p>
        </w:tc>
        <w:tc>
          <w:tcPr>
            <w:tcW w:w="1701" w:type="dxa"/>
            <w:shd w:val="clear" w:color="auto" w:fill="auto"/>
          </w:tcPr>
          <w:p w:rsidR="00A400FD" w:rsidRDefault="00F0743D" w:rsidP="00A400FD">
            <w:pPr>
              <w:spacing w:after="0"/>
              <w:ind w:right="-24"/>
              <w:jc w:val="center"/>
              <w:rPr>
                <w:rFonts w:cs="Arial"/>
                <w:b/>
              </w:rPr>
            </w:pPr>
            <w:r w:rsidRPr="00E43184">
              <w:rPr>
                <w:rFonts w:cs="Arial"/>
                <w:b/>
              </w:rPr>
              <w:t>2019/20</w:t>
            </w:r>
          </w:p>
          <w:p w:rsidR="00A400FD" w:rsidRDefault="00F0743D" w:rsidP="00A400FD">
            <w:pPr>
              <w:spacing w:after="0"/>
              <w:ind w:right="-24"/>
              <w:jc w:val="center"/>
              <w:rPr>
                <w:rFonts w:cs="Arial"/>
                <w:b/>
              </w:rPr>
            </w:pPr>
            <w:r w:rsidRPr="00E43184">
              <w:rPr>
                <w:rFonts w:cs="Arial"/>
                <w:b/>
              </w:rPr>
              <w:t>(£m)</w:t>
            </w:r>
          </w:p>
          <w:p w:rsidR="00A400FD" w:rsidRPr="00E43184" w:rsidRDefault="007B1E59" w:rsidP="00A400FD">
            <w:pPr>
              <w:spacing w:after="0"/>
              <w:ind w:right="-24"/>
              <w:jc w:val="center"/>
              <w:rPr>
                <w:rFonts w:cs="Arial"/>
                <w:b/>
              </w:rPr>
            </w:pPr>
          </w:p>
        </w:tc>
        <w:tc>
          <w:tcPr>
            <w:tcW w:w="1984" w:type="dxa"/>
            <w:shd w:val="clear" w:color="auto" w:fill="auto"/>
          </w:tcPr>
          <w:p w:rsidR="00A400FD" w:rsidRDefault="00F0743D" w:rsidP="00A400FD">
            <w:pPr>
              <w:spacing w:after="0"/>
              <w:ind w:right="-24"/>
              <w:jc w:val="center"/>
              <w:rPr>
                <w:rFonts w:cs="Arial"/>
                <w:b/>
              </w:rPr>
            </w:pPr>
            <w:r w:rsidRPr="00E43184">
              <w:rPr>
                <w:rFonts w:cs="Arial"/>
                <w:b/>
              </w:rPr>
              <w:t>2020/21</w:t>
            </w:r>
          </w:p>
          <w:p w:rsidR="00A400FD" w:rsidRDefault="00F0743D" w:rsidP="00A400FD">
            <w:pPr>
              <w:spacing w:after="0"/>
              <w:ind w:right="-24"/>
              <w:jc w:val="center"/>
              <w:rPr>
                <w:rFonts w:cs="Arial"/>
                <w:b/>
              </w:rPr>
            </w:pPr>
            <w:r>
              <w:rPr>
                <w:rFonts w:cs="Arial"/>
                <w:b/>
              </w:rPr>
              <w:t>(</w:t>
            </w:r>
            <w:r w:rsidRPr="00E43184">
              <w:rPr>
                <w:rFonts w:cs="Arial"/>
                <w:b/>
              </w:rPr>
              <w:t>£m)</w:t>
            </w:r>
          </w:p>
          <w:p w:rsidR="00A400FD" w:rsidRPr="00E43184" w:rsidRDefault="007B1E59" w:rsidP="00A400FD">
            <w:pPr>
              <w:spacing w:after="0"/>
              <w:ind w:right="-24"/>
              <w:jc w:val="center"/>
              <w:rPr>
                <w:rFonts w:cs="Arial"/>
                <w:b/>
              </w:rPr>
            </w:pPr>
          </w:p>
        </w:tc>
      </w:tr>
      <w:tr w:rsidR="00C54E82" w:rsidTr="00A400FD">
        <w:tc>
          <w:tcPr>
            <w:tcW w:w="4957" w:type="dxa"/>
            <w:shd w:val="clear" w:color="auto" w:fill="auto"/>
          </w:tcPr>
          <w:p w:rsidR="00A400FD" w:rsidRPr="00E43184" w:rsidRDefault="00F0743D" w:rsidP="00A400FD">
            <w:pPr>
              <w:spacing w:after="0"/>
              <w:ind w:right="-24"/>
              <w:rPr>
                <w:rFonts w:cs="Arial"/>
                <w:b/>
              </w:rPr>
            </w:pPr>
            <w:r w:rsidRPr="00E43184">
              <w:rPr>
                <w:rFonts w:cs="Arial"/>
                <w:b/>
              </w:rPr>
              <w:t>Transitional Reserve Opening Balance</w:t>
            </w:r>
          </w:p>
        </w:tc>
        <w:tc>
          <w:tcPr>
            <w:tcW w:w="1701" w:type="dxa"/>
            <w:shd w:val="clear" w:color="auto" w:fill="auto"/>
          </w:tcPr>
          <w:p w:rsidR="00A400FD" w:rsidRPr="00E43184" w:rsidRDefault="00F0743D" w:rsidP="00A400FD">
            <w:pPr>
              <w:spacing w:after="0"/>
              <w:ind w:right="-24"/>
              <w:jc w:val="right"/>
              <w:rPr>
                <w:rFonts w:cs="Arial"/>
                <w:b/>
              </w:rPr>
            </w:pPr>
            <w:r w:rsidRPr="00E43184">
              <w:rPr>
                <w:rFonts w:cs="Arial"/>
                <w:b/>
              </w:rPr>
              <w:t>126.029</w:t>
            </w:r>
          </w:p>
        </w:tc>
        <w:tc>
          <w:tcPr>
            <w:tcW w:w="1984" w:type="dxa"/>
            <w:shd w:val="clear" w:color="auto" w:fill="auto"/>
          </w:tcPr>
          <w:p w:rsidR="00A400FD" w:rsidRPr="00E43184" w:rsidRDefault="00F0743D" w:rsidP="00A400FD">
            <w:pPr>
              <w:spacing w:after="0"/>
              <w:ind w:right="-24"/>
              <w:jc w:val="right"/>
              <w:rPr>
                <w:rFonts w:cs="Arial"/>
                <w:b/>
              </w:rPr>
            </w:pPr>
            <w:r w:rsidRPr="00E43184">
              <w:rPr>
                <w:rFonts w:cs="Arial"/>
                <w:b/>
              </w:rPr>
              <w:t>6</w:t>
            </w:r>
            <w:r>
              <w:rPr>
                <w:rFonts w:cs="Arial"/>
                <w:b/>
              </w:rPr>
              <w:t>4</w:t>
            </w:r>
            <w:r w:rsidRPr="00E43184">
              <w:rPr>
                <w:rFonts w:cs="Arial"/>
                <w:b/>
              </w:rPr>
              <w:t>.607</w:t>
            </w:r>
          </w:p>
        </w:tc>
      </w:tr>
      <w:tr w:rsidR="00C54E82" w:rsidTr="00A400FD">
        <w:tc>
          <w:tcPr>
            <w:tcW w:w="4957" w:type="dxa"/>
            <w:shd w:val="clear" w:color="auto" w:fill="auto"/>
          </w:tcPr>
          <w:p w:rsidR="00A400FD" w:rsidRPr="00E43184" w:rsidRDefault="00F0743D" w:rsidP="00A400FD">
            <w:pPr>
              <w:spacing w:after="0"/>
              <w:ind w:right="-24"/>
              <w:rPr>
                <w:rFonts w:cs="Arial"/>
              </w:rPr>
            </w:pPr>
            <w:r>
              <w:rPr>
                <w:rFonts w:cs="Arial"/>
              </w:rPr>
              <w:t>Contribution to MTFS Funding Gap</w:t>
            </w:r>
          </w:p>
        </w:tc>
        <w:tc>
          <w:tcPr>
            <w:tcW w:w="1701" w:type="dxa"/>
            <w:shd w:val="clear" w:color="auto" w:fill="auto"/>
          </w:tcPr>
          <w:p w:rsidR="00A400FD" w:rsidRPr="00E43184" w:rsidRDefault="00F0743D" w:rsidP="00A400FD">
            <w:pPr>
              <w:spacing w:after="0"/>
              <w:ind w:right="-24"/>
              <w:jc w:val="right"/>
              <w:rPr>
                <w:rFonts w:cs="Arial"/>
              </w:rPr>
            </w:pPr>
            <w:r>
              <w:rPr>
                <w:rFonts w:cs="Arial"/>
              </w:rPr>
              <w:t>60.596</w:t>
            </w:r>
          </w:p>
        </w:tc>
        <w:tc>
          <w:tcPr>
            <w:tcW w:w="1984" w:type="dxa"/>
            <w:shd w:val="clear" w:color="auto" w:fill="auto"/>
          </w:tcPr>
          <w:p w:rsidR="00A400FD" w:rsidRPr="00E43184" w:rsidRDefault="00F0743D" w:rsidP="00A400FD">
            <w:pPr>
              <w:spacing w:after="0"/>
              <w:ind w:right="-24"/>
              <w:jc w:val="right"/>
              <w:rPr>
                <w:rFonts w:cs="Arial"/>
              </w:rPr>
            </w:pPr>
            <w:r>
              <w:rPr>
                <w:rFonts w:cs="Arial"/>
              </w:rPr>
              <w:t>64.413</w:t>
            </w:r>
          </w:p>
        </w:tc>
      </w:tr>
      <w:tr w:rsidR="00C54E82" w:rsidTr="00A400FD">
        <w:tc>
          <w:tcPr>
            <w:tcW w:w="4957" w:type="dxa"/>
            <w:shd w:val="clear" w:color="auto" w:fill="auto"/>
          </w:tcPr>
          <w:p w:rsidR="00A400FD" w:rsidRPr="00E43184" w:rsidRDefault="00F0743D" w:rsidP="00A400FD">
            <w:pPr>
              <w:spacing w:after="0"/>
              <w:ind w:right="-24"/>
              <w:rPr>
                <w:rFonts w:cs="Arial"/>
              </w:rPr>
            </w:pPr>
            <w:r>
              <w:rPr>
                <w:rFonts w:cs="Arial"/>
              </w:rPr>
              <w:t>Commitments</w:t>
            </w:r>
          </w:p>
        </w:tc>
        <w:tc>
          <w:tcPr>
            <w:tcW w:w="1701" w:type="dxa"/>
            <w:shd w:val="clear" w:color="auto" w:fill="auto"/>
          </w:tcPr>
          <w:p w:rsidR="00A400FD" w:rsidRPr="00E43184" w:rsidRDefault="00F0743D" w:rsidP="00A400FD">
            <w:pPr>
              <w:spacing w:after="0"/>
              <w:ind w:right="-24"/>
              <w:jc w:val="right"/>
              <w:rPr>
                <w:rFonts w:cs="Arial"/>
              </w:rPr>
            </w:pPr>
            <w:r>
              <w:rPr>
                <w:rFonts w:cs="Arial"/>
              </w:rPr>
              <w:t>0.826</w:t>
            </w:r>
          </w:p>
        </w:tc>
        <w:tc>
          <w:tcPr>
            <w:tcW w:w="1984" w:type="dxa"/>
            <w:shd w:val="clear" w:color="auto" w:fill="auto"/>
          </w:tcPr>
          <w:p w:rsidR="00A400FD" w:rsidRPr="00E43184" w:rsidRDefault="00F0743D" w:rsidP="00A400FD">
            <w:pPr>
              <w:spacing w:after="0"/>
              <w:ind w:right="-24"/>
              <w:jc w:val="right"/>
              <w:rPr>
                <w:rFonts w:cs="Arial"/>
              </w:rPr>
            </w:pPr>
            <w:r>
              <w:rPr>
                <w:rFonts w:cs="Arial"/>
              </w:rPr>
              <w:t>0.194</w:t>
            </w:r>
          </w:p>
        </w:tc>
      </w:tr>
      <w:tr w:rsidR="00C54E82" w:rsidTr="00A400FD">
        <w:tc>
          <w:tcPr>
            <w:tcW w:w="4957" w:type="dxa"/>
            <w:shd w:val="clear" w:color="auto" w:fill="auto"/>
          </w:tcPr>
          <w:p w:rsidR="00A400FD" w:rsidRPr="00E43184" w:rsidRDefault="00F0743D" w:rsidP="00A400FD">
            <w:pPr>
              <w:spacing w:after="0"/>
              <w:ind w:right="-24"/>
              <w:rPr>
                <w:rFonts w:cs="Arial"/>
                <w:b/>
              </w:rPr>
            </w:pPr>
            <w:r w:rsidRPr="00E43184">
              <w:rPr>
                <w:rFonts w:cs="Arial"/>
                <w:b/>
              </w:rPr>
              <w:t>Transitional Reserve Closing Balance</w:t>
            </w:r>
          </w:p>
        </w:tc>
        <w:tc>
          <w:tcPr>
            <w:tcW w:w="1701" w:type="dxa"/>
            <w:shd w:val="clear" w:color="auto" w:fill="auto"/>
          </w:tcPr>
          <w:p w:rsidR="00A400FD" w:rsidRPr="00E43184" w:rsidRDefault="00F0743D" w:rsidP="00A400FD">
            <w:pPr>
              <w:spacing w:after="0"/>
              <w:ind w:right="-24"/>
              <w:jc w:val="right"/>
              <w:rPr>
                <w:rFonts w:cs="Arial"/>
                <w:b/>
              </w:rPr>
            </w:pPr>
            <w:r>
              <w:rPr>
                <w:rFonts w:cs="Arial"/>
                <w:b/>
              </w:rPr>
              <w:t>64</w:t>
            </w:r>
            <w:r w:rsidRPr="00E43184">
              <w:rPr>
                <w:rFonts w:cs="Arial"/>
                <w:b/>
              </w:rPr>
              <w:t>.607</w:t>
            </w:r>
          </w:p>
        </w:tc>
        <w:tc>
          <w:tcPr>
            <w:tcW w:w="1984" w:type="dxa"/>
            <w:shd w:val="clear" w:color="auto" w:fill="auto"/>
          </w:tcPr>
          <w:p w:rsidR="00A400FD" w:rsidRPr="00E43184" w:rsidRDefault="00F0743D" w:rsidP="00A400FD">
            <w:pPr>
              <w:spacing w:after="0"/>
              <w:ind w:right="-24"/>
              <w:jc w:val="right"/>
              <w:rPr>
                <w:rFonts w:cs="Arial"/>
                <w:b/>
              </w:rPr>
            </w:pPr>
            <w:r w:rsidRPr="00E43184">
              <w:rPr>
                <w:rFonts w:cs="Arial"/>
                <w:b/>
              </w:rPr>
              <w:t>0.000</w:t>
            </w:r>
          </w:p>
        </w:tc>
      </w:tr>
    </w:tbl>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spacing w:after="0"/>
        <w:ind w:right="-24"/>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highlight w:val="yellow"/>
        </w:rPr>
      </w:pPr>
    </w:p>
    <w:p w:rsidR="00A400FD" w:rsidRPr="001657C7" w:rsidRDefault="00F0743D" w:rsidP="00A400FD">
      <w:pPr>
        <w:tabs>
          <w:tab w:val="left" w:pos="567"/>
          <w:tab w:val="left" w:pos="1134"/>
        </w:tabs>
        <w:spacing w:after="0"/>
        <w:rPr>
          <w:rFonts w:cs="Arial"/>
          <w:b/>
        </w:rPr>
      </w:pPr>
      <w:r w:rsidRPr="001657C7">
        <w:rPr>
          <w:rFonts w:cs="Arial"/>
          <w:b/>
        </w:rPr>
        <w:t>5. Future Risks</w:t>
      </w:r>
      <w:r>
        <w:rPr>
          <w:rFonts w:cs="Arial"/>
          <w:b/>
        </w:rPr>
        <w:t xml:space="preserve"> and Opportunities</w:t>
      </w:r>
    </w:p>
    <w:p w:rsidR="00A400FD" w:rsidRPr="001657C7" w:rsidRDefault="007B1E59" w:rsidP="00A400FD">
      <w:pPr>
        <w:tabs>
          <w:tab w:val="left" w:pos="567"/>
          <w:tab w:val="left" w:pos="1134"/>
        </w:tabs>
        <w:spacing w:after="0"/>
        <w:rPr>
          <w:rFonts w:cs="Arial"/>
        </w:rPr>
      </w:pPr>
    </w:p>
    <w:p w:rsidR="00A400FD" w:rsidRPr="001657C7" w:rsidRDefault="00F0743D" w:rsidP="00A400FD">
      <w:pPr>
        <w:tabs>
          <w:tab w:val="left" w:pos="567"/>
          <w:tab w:val="left" w:pos="1134"/>
        </w:tabs>
        <w:spacing w:after="0"/>
        <w:rPr>
          <w:rFonts w:cs="Arial"/>
        </w:rPr>
      </w:pPr>
      <w:r>
        <w:rPr>
          <w:rFonts w:cs="Arial"/>
        </w:rPr>
        <w:t>T</w:t>
      </w:r>
      <w:r w:rsidRPr="001657C7">
        <w:rPr>
          <w:rFonts w:cs="Arial"/>
        </w:rPr>
        <w:t>he following are key future risks, the full impact of which is not known at this stage:</w:t>
      </w:r>
    </w:p>
    <w:p w:rsidR="00A400FD" w:rsidRPr="00084CD2" w:rsidRDefault="007B1E59" w:rsidP="00A400FD">
      <w:pPr>
        <w:tabs>
          <w:tab w:val="left" w:pos="567"/>
          <w:tab w:val="left" w:pos="1134"/>
        </w:tabs>
        <w:spacing w:after="0"/>
        <w:rPr>
          <w:rFonts w:cs="Arial"/>
          <w:highlight w:val="yellow"/>
        </w:rPr>
      </w:pPr>
    </w:p>
    <w:p w:rsidR="00A400FD" w:rsidRPr="004A79EC" w:rsidRDefault="00F0743D" w:rsidP="00A400FD">
      <w:pPr>
        <w:tabs>
          <w:tab w:val="left" w:pos="567"/>
          <w:tab w:val="left" w:pos="1134"/>
        </w:tabs>
        <w:spacing w:after="0"/>
        <w:rPr>
          <w:rFonts w:cs="Arial"/>
          <w:b/>
        </w:rPr>
      </w:pPr>
      <w:r w:rsidRPr="004A79EC">
        <w:rPr>
          <w:rFonts w:cs="Arial"/>
          <w:b/>
        </w:rPr>
        <w:t>5.1 Agreed Savings Plans Delivery</w:t>
      </w:r>
    </w:p>
    <w:p w:rsidR="00A400FD" w:rsidRPr="004A79EC" w:rsidRDefault="007B1E59" w:rsidP="00A400FD">
      <w:pPr>
        <w:pStyle w:val="PlainText"/>
        <w:rPr>
          <w:rFonts w:ascii="Arial" w:hAnsi="Arial" w:cs="Arial"/>
          <w:sz w:val="24"/>
          <w:szCs w:val="24"/>
        </w:rPr>
      </w:pPr>
    </w:p>
    <w:p w:rsidR="00A400FD" w:rsidRDefault="00F0743D" w:rsidP="00A400FD">
      <w:pPr>
        <w:pStyle w:val="PlainText"/>
        <w:rPr>
          <w:rFonts w:ascii="Arial" w:hAnsi="Arial" w:cs="Arial"/>
          <w:sz w:val="24"/>
          <w:szCs w:val="24"/>
        </w:rPr>
      </w:pPr>
      <w:r w:rsidRPr="004A79EC">
        <w:rPr>
          <w:rFonts w:ascii="Arial" w:hAnsi="Arial" w:cs="Arial"/>
          <w:sz w:val="24"/>
          <w:szCs w:val="24"/>
        </w:rPr>
        <w:t>The scale of agreed savings (</w:t>
      </w:r>
      <w:r>
        <w:rPr>
          <w:rFonts w:ascii="Arial" w:hAnsi="Arial" w:cs="Arial"/>
          <w:sz w:val="24"/>
          <w:szCs w:val="24"/>
        </w:rPr>
        <w:t xml:space="preserve">£130m in </w:t>
      </w:r>
      <w:r w:rsidRPr="004A79EC">
        <w:rPr>
          <w:rFonts w:ascii="Arial" w:hAnsi="Arial" w:cs="Arial"/>
          <w:sz w:val="24"/>
          <w:szCs w:val="24"/>
        </w:rPr>
        <w:t>2018/19</w:t>
      </w:r>
      <w:r>
        <w:rPr>
          <w:rFonts w:ascii="Arial" w:hAnsi="Arial" w:cs="Arial"/>
          <w:sz w:val="24"/>
          <w:szCs w:val="24"/>
        </w:rPr>
        <w:t xml:space="preserve"> – 2020/21</w:t>
      </w:r>
      <w:r w:rsidRPr="004A79EC">
        <w:rPr>
          <w:rFonts w:ascii="Arial" w:hAnsi="Arial" w:cs="Arial"/>
          <w:sz w:val="24"/>
          <w:szCs w:val="24"/>
        </w:rPr>
        <w:t>)</w:t>
      </w:r>
      <w:r>
        <w:rPr>
          <w:rFonts w:ascii="Arial" w:hAnsi="Arial" w:cs="Arial"/>
          <w:sz w:val="24"/>
          <w:szCs w:val="24"/>
        </w:rPr>
        <w:t xml:space="preserve"> </w:t>
      </w:r>
      <w:r w:rsidRPr="004A79EC">
        <w:rPr>
          <w:rFonts w:ascii="Arial" w:hAnsi="Arial" w:cs="Arial"/>
          <w:sz w:val="24"/>
          <w:szCs w:val="24"/>
        </w:rPr>
        <w:t xml:space="preserve">is significant and there are inherent risks in their delivery.  Any significant under-delivery will create an additional funding </w:t>
      </w:r>
      <w:r>
        <w:rPr>
          <w:rFonts w:ascii="Arial" w:hAnsi="Arial" w:cs="Arial"/>
          <w:sz w:val="24"/>
          <w:szCs w:val="24"/>
        </w:rPr>
        <w:t>pressure</w:t>
      </w:r>
      <w:r w:rsidRPr="004A79EC">
        <w:rPr>
          <w:rFonts w:ascii="Arial" w:hAnsi="Arial" w:cs="Arial"/>
          <w:sz w:val="24"/>
          <w:szCs w:val="24"/>
        </w:rPr>
        <w:t xml:space="preserve"> and impact on the ongoing and longe</w:t>
      </w:r>
      <w:r>
        <w:rPr>
          <w:rFonts w:ascii="Arial" w:hAnsi="Arial" w:cs="Arial"/>
          <w:sz w:val="24"/>
          <w:szCs w:val="24"/>
        </w:rPr>
        <w:t>r-term financial health of the c</w:t>
      </w:r>
      <w:r w:rsidRPr="004A79EC">
        <w:rPr>
          <w:rFonts w:ascii="Arial" w:hAnsi="Arial" w:cs="Arial"/>
          <w:sz w:val="24"/>
          <w:szCs w:val="24"/>
        </w:rPr>
        <w:t>ouncil.  This has been identified as o</w:t>
      </w:r>
      <w:r>
        <w:rPr>
          <w:rFonts w:ascii="Arial" w:hAnsi="Arial" w:cs="Arial"/>
          <w:sz w:val="24"/>
          <w:szCs w:val="24"/>
        </w:rPr>
        <w:t>ne of the highest risks in the risk and opportunity r</w:t>
      </w:r>
      <w:r w:rsidRPr="004A79EC">
        <w:rPr>
          <w:rFonts w:ascii="Arial" w:hAnsi="Arial" w:cs="Arial"/>
          <w:sz w:val="24"/>
          <w:szCs w:val="24"/>
        </w:rPr>
        <w:t>egister.  There are comprehensive arrangements in place to track delivery of financial savings and take corrective actions where required.</w:t>
      </w:r>
    </w:p>
    <w:p w:rsidR="00A400FD" w:rsidRDefault="007B1E59" w:rsidP="00A400FD">
      <w:pPr>
        <w:pStyle w:val="PlainText"/>
        <w:rPr>
          <w:rFonts w:ascii="Arial" w:hAnsi="Arial" w:cs="Arial"/>
          <w:sz w:val="24"/>
          <w:szCs w:val="24"/>
        </w:rPr>
      </w:pPr>
    </w:p>
    <w:p w:rsidR="00A400FD" w:rsidRPr="004A79EC" w:rsidRDefault="00F0743D" w:rsidP="00A400FD">
      <w:pPr>
        <w:pStyle w:val="PlainText"/>
        <w:rPr>
          <w:rFonts w:ascii="Arial" w:hAnsi="Arial" w:cs="Arial"/>
          <w:sz w:val="24"/>
          <w:szCs w:val="24"/>
        </w:rPr>
      </w:pPr>
      <w:r>
        <w:rPr>
          <w:rFonts w:ascii="Arial" w:hAnsi="Arial" w:cs="Arial"/>
          <w:sz w:val="24"/>
          <w:szCs w:val="24"/>
        </w:rPr>
        <w:t xml:space="preserve">A savings delivery programme of this scale always has some inherent risks relating to the speed of delivery, particularly where they are directly linked to reducing the future demand for services. Where services are experiencing a potential negative variance in their savings plans the service managers are actively seeking to meet any shortfalls through other activities within their service area. </w:t>
      </w:r>
    </w:p>
    <w:p w:rsidR="00A400FD" w:rsidRPr="004A79EC" w:rsidRDefault="007B1E59" w:rsidP="00A400FD">
      <w:pPr>
        <w:tabs>
          <w:tab w:val="left" w:pos="567"/>
          <w:tab w:val="left" w:pos="1134"/>
        </w:tabs>
        <w:spacing w:after="0"/>
        <w:rPr>
          <w:rFonts w:cs="Arial"/>
        </w:rPr>
      </w:pPr>
    </w:p>
    <w:p w:rsidR="00A400FD" w:rsidRPr="004A79EC" w:rsidRDefault="00F0743D" w:rsidP="00A400FD">
      <w:pPr>
        <w:tabs>
          <w:tab w:val="left" w:pos="567"/>
          <w:tab w:val="left" w:pos="1134"/>
        </w:tabs>
        <w:spacing w:after="0"/>
        <w:rPr>
          <w:rFonts w:cs="Arial"/>
          <w:b/>
        </w:rPr>
      </w:pPr>
      <w:r w:rsidRPr="004A79EC">
        <w:rPr>
          <w:rFonts w:cs="Arial"/>
          <w:b/>
        </w:rPr>
        <w:t>5.2 Identification of Further Savings Opportunities</w:t>
      </w:r>
    </w:p>
    <w:p w:rsidR="00A400FD" w:rsidRPr="00084CD2" w:rsidRDefault="007B1E59" w:rsidP="00A400FD">
      <w:pPr>
        <w:tabs>
          <w:tab w:val="left" w:pos="567"/>
          <w:tab w:val="left" w:pos="1134"/>
        </w:tabs>
        <w:spacing w:after="0"/>
        <w:rPr>
          <w:rFonts w:cs="Arial"/>
          <w:b/>
          <w:highlight w:val="yellow"/>
        </w:rPr>
      </w:pPr>
    </w:p>
    <w:p w:rsidR="00A400FD" w:rsidRPr="00084CD2" w:rsidRDefault="00F0743D" w:rsidP="00A400FD">
      <w:pPr>
        <w:spacing w:after="0"/>
        <w:rPr>
          <w:rFonts w:ascii="ArialMT" w:eastAsia="Cambria" w:hAnsi="ArialMT" w:cs="ArialMT"/>
          <w:color w:val="auto"/>
          <w:highlight w:val="yellow"/>
          <w:lang w:eastAsia="en-GB"/>
        </w:rPr>
      </w:pPr>
      <w:r w:rsidRPr="004A79EC">
        <w:rPr>
          <w:rFonts w:cs="Arial"/>
        </w:rPr>
        <w:t xml:space="preserve">A process to identify further savings, referred to as the service challenge process, is </w:t>
      </w:r>
      <w:r>
        <w:rPr>
          <w:rFonts w:cs="Arial"/>
        </w:rPr>
        <w:t xml:space="preserve">well </w:t>
      </w:r>
      <w:r w:rsidRPr="004A79EC">
        <w:rPr>
          <w:rFonts w:cs="Arial"/>
        </w:rPr>
        <w:t xml:space="preserve">underway with each service across the </w:t>
      </w:r>
      <w:r>
        <w:rPr>
          <w:rFonts w:cs="Arial"/>
        </w:rPr>
        <w:t>c</w:t>
      </w:r>
      <w:r w:rsidRPr="004A79EC">
        <w:rPr>
          <w:rFonts w:cs="Arial"/>
        </w:rPr>
        <w:t xml:space="preserve">ounty </w:t>
      </w:r>
      <w:r>
        <w:rPr>
          <w:rFonts w:cs="Arial"/>
        </w:rPr>
        <w:t>c</w:t>
      </w:r>
      <w:r w:rsidRPr="004A79EC">
        <w:rPr>
          <w:rFonts w:cs="Arial"/>
        </w:rPr>
        <w:t xml:space="preserve">ouncil presenting opportunities for further savings. A benchmarking exercise across all </w:t>
      </w:r>
      <w:r>
        <w:rPr>
          <w:rFonts w:cs="Arial"/>
        </w:rPr>
        <w:t>c</w:t>
      </w:r>
      <w:r w:rsidRPr="004A79EC">
        <w:rPr>
          <w:rFonts w:cs="Arial"/>
        </w:rPr>
        <w:t xml:space="preserve">ounty </w:t>
      </w:r>
      <w:r>
        <w:rPr>
          <w:rFonts w:cs="Arial"/>
        </w:rPr>
        <w:t>c</w:t>
      </w:r>
      <w:r w:rsidRPr="004A79EC">
        <w:rPr>
          <w:rFonts w:cs="Arial"/>
        </w:rPr>
        <w:t xml:space="preserve">ouncils (and  other </w:t>
      </w:r>
      <w:r>
        <w:rPr>
          <w:rFonts w:cs="Arial"/>
        </w:rPr>
        <w:t>c</w:t>
      </w:r>
      <w:r w:rsidRPr="004A79EC">
        <w:rPr>
          <w:rFonts w:cs="Arial"/>
        </w:rPr>
        <w:t xml:space="preserve">ouncils where appropriate) has identified that there are some service areas where Lancashire is higher cost, and therefore the process is aiming to deliver services at the median costs or below. </w:t>
      </w:r>
      <w:r>
        <w:rPr>
          <w:rFonts w:cs="Arial"/>
        </w:rPr>
        <w:t xml:space="preserve">The service challenges are scheduled to be completed by early November 2018 and the outcomes and related savings proposals will primarily come to cabinet for a decision in December 2018. </w:t>
      </w:r>
    </w:p>
    <w:p w:rsidR="00A400FD" w:rsidRPr="00084CD2" w:rsidRDefault="007B1E59" w:rsidP="00A400FD">
      <w:pPr>
        <w:tabs>
          <w:tab w:val="left" w:pos="567"/>
          <w:tab w:val="left" w:pos="1134"/>
        </w:tabs>
        <w:spacing w:after="0"/>
        <w:rPr>
          <w:rFonts w:cs="Arial"/>
          <w:highlight w:val="yellow"/>
        </w:rPr>
      </w:pPr>
    </w:p>
    <w:p w:rsidR="00A400FD" w:rsidRPr="007A72A6" w:rsidRDefault="00F0743D" w:rsidP="00A400FD">
      <w:pPr>
        <w:tabs>
          <w:tab w:val="left" w:pos="567"/>
          <w:tab w:val="left" w:pos="1134"/>
        </w:tabs>
        <w:spacing w:after="0"/>
        <w:rPr>
          <w:rFonts w:cs="Arial"/>
          <w:b/>
        </w:rPr>
      </w:pPr>
      <w:r w:rsidRPr="007A72A6">
        <w:rPr>
          <w:rFonts w:cs="Arial"/>
          <w:b/>
        </w:rPr>
        <w:t>5.3 Business Rates Retention / Changes to Funding Formula</w:t>
      </w:r>
    </w:p>
    <w:p w:rsidR="00A400FD" w:rsidRPr="00084CD2" w:rsidRDefault="007B1E59" w:rsidP="00A400FD">
      <w:pPr>
        <w:tabs>
          <w:tab w:val="left" w:pos="567"/>
          <w:tab w:val="left" w:pos="1134"/>
        </w:tabs>
        <w:spacing w:after="0"/>
        <w:rPr>
          <w:rFonts w:cs="Arial"/>
          <w:b/>
          <w:highlight w:val="yellow"/>
        </w:rPr>
      </w:pPr>
    </w:p>
    <w:p w:rsidR="00A400FD" w:rsidRPr="007A72A6" w:rsidRDefault="00F0743D" w:rsidP="00A400FD">
      <w:pPr>
        <w:tabs>
          <w:tab w:val="left" w:pos="567"/>
          <w:tab w:val="left" w:pos="1134"/>
        </w:tabs>
        <w:spacing w:after="0"/>
        <w:rPr>
          <w:rFonts w:cs="Arial"/>
        </w:rPr>
      </w:pPr>
      <w:r w:rsidRPr="007A72A6">
        <w:rPr>
          <w:rFonts w:cs="Arial"/>
        </w:rPr>
        <w:t>In 2015 the Chancellor announced that local government as a whole would be able to keep 100% of business rates by 2020</w:t>
      </w:r>
      <w:r>
        <w:rPr>
          <w:rFonts w:cs="Arial"/>
        </w:rPr>
        <w:t xml:space="preserve"> and this would be accompanied by clarity around what new responsibilities this would fund along with a revised national funding formula which could have a significant impact on the council's future funding base</w:t>
      </w:r>
      <w:r w:rsidRPr="007A72A6">
        <w:rPr>
          <w:rFonts w:cs="Arial"/>
        </w:rPr>
        <w:t xml:space="preserve">.  </w:t>
      </w:r>
      <w:r>
        <w:rPr>
          <w:rFonts w:cs="Arial"/>
        </w:rPr>
        <w:t xml:space="preserve">This process has been delayed and has also now been revised to 75% business rates retention, with a current prospectus inviting applications for councils to pilot the scheme with a closing date at the end of September. </w:t>
      </w:r>
      <w:r w:rsidRPr="007A72A6">
        <w:rPr>
          <w:rFonts w:cs="Arial"/>
        </w:rPr>
        <w:t xml:space="preserve">There is currently a system of redistribution (top-ups and tariffs) to reflect there are councils with relatively higher needs but lower income from business rates and vice versa.  </w:t>
      </w:r>
    </w:p>
    <w:p w:rsidR="00A400FD" w:rsidRPr="00084CD2" w:rsidRDefault="007B1E59" w:rsidP="00A400FD">
      <w:pPr>
        <w:tabs>
          <w:tab w:val="left" w:pos="567"/>
          <w:tab w:val="left" w:pos="1134"/>
        </w:tabs>
        <w:spacing w:after="0"/>
        <w:rPr>
          <w:rFonts w:cs="Arial"/>
          <w:highlight w:val="yellow"/>
        </w:rPr>
      </w:pPr>
    </w:p>
    <w:p w:rsidR="00A400FD" w:rsidRDefault="00F0743D" w:rsidP="00A400FD">
      <w:pPr>
        <w:tabs>
          <w:tab w:val="left" w:pos="567"/>
          <w:tab w:val="left" w:pos="1134"/>
        </w:tabs>
        <w:spacing w:after="0"/>
        <w:rPr>
          <w:rFonts w:cs="Arial"/>
        </w:rPr>
      </w:pPr>
      <w:r w:rsidRPr="007A72A6">
        <w:rPr>
          <w:rFonts w:cs="Arial"/>
        </w:rPr>
        <w:t xml:space="preserve">The </w:t>
      </w:r>
      <w:r>
        <w:rPr>
          <w:rFonts w:cs="Arial"/>
        </w:rPr>
        <w:t>c</w:t>
      </w:r>
      <w:r w:rsidRPr="007A72A6">
        <w:rPr>
          <w:rFonts w:cs="Arial"/>
        </w:rPr>
        <w:t xml:space="preserve">ounty </w:t>
      </w:r>
      <w:r>
        <w:rPr>
          <w:rFonts w:cs="Arial"/>
        </w:rPr>
        <w:t>c</w:t>
      </w:r>
      <w:r w:rsidRPr="007A72A6">
        <w:rPr>
          <w:rFonts w:cs="Arial"/>
        </w:rPr>
        <w:t>ouncil currently receives a top-up grant, p</w:t>
      </w:r>
      <w:r>
        <w:rPr>
          <w:rFonts w:cs="Arial"/>
        </w:rPr>
        <w:t>rimarily as a result of having a</w:t>
      </w:r>
      <w:r w:rsidRPr="007A72A6">
        <w:rPr>
          <w:rFonts w:cs="Arial"/>
        </w:rPr>
        <w:t xml:space="preserve">dult </w:t>
      </w:r>
      <w:r>
        <w:rPr>
          <w:rFonts w:cs="Arial"/>
        </w:rPr>
        <w:t>s</w:t>
      </w:r>
      <w:r w:rsidRPr="007A72A6">
        <w:rPr>
          <w:rFonts w:cs="Arial"/>
        </w:rPr>
        <w:t xml:space="preserve">ocial </w:t>
      </w:r>
      <w:r>
        <w:rPr>
          <w:rFonts w:cs="Arial"/>
        </w:rPr>
        <w:t>c</w:t>
      </w:r>
      <w:r w:rsidRPr="007A72A6">
        <w:rPr>
          <w:rFonts w:cs="Arial"/>
        </w:rPr>
        <w:t>are responsibilities, and although work is progressing nationally</w:t>
      </w:r>
      <w:r>
        <w:rPr>
          <w:rFonts w:cs="Arial"/>
        </w:rPr>
        <w:t>,</w:t>
      </w:r>
      <w:r w:rsidRPr="007A72A6">
        <w:rPr>
          <w:rFonts w:cs="Arial"/>
        </w:rPr>
        <w:t xml:space="preserve"> with a number of complete and planned consultations regarding the changes, there is currently insufficient information available to model what the financial impact of the changes will be </w:t>
      </w:r>
      <w:r>
        <w:rPr>
          <w:rFonts w:cs="Arial"/>
        </w:rPr>
        <w:t xml:space="preserve">overall </w:t>
      </w:r>
      <w:r w:rsidRPr="007A72A6">
        <w:rPr>
          <w:rFonts w:cs="Arial"/>
        </w:rPr>
        <w:t xml:space="preserve">and </w:t>
      </w:r>
      <w:r>
        <w:rPr>
          <w:rFonts w:cs="Arial"/>
        </w:rPr>
        <w:t>specifically to the county c</w:t>
      </w:r>
      <w:r w:rsidRPr="007A72A6">
        <w:rPr>
          <w:rFonts w:cs="Arial"/>
        </w:rPr>
        <w:t>ouncil.</w:t>
      </w:r>
      <w:r>
        <w:rPr>
          <w:rFonts w:cs="Arial"/>
        </w:rPr>
        <w:t xml:space="preserve">  Currently the forecast is assuming the ceasing of revenue support grant in 2020/21 and a relatively neutral position on business rates and formula funding thereafter. </w:t>
      </w:r>
      <w:r w:rsidRPr="007A72A6">
        <w:rPr>
          <w:rFonts w:cs="Arial"/>
        </w:rPr>
        <w:t xml:space="preserve"> </w:t>
      </w:r>
    </w:p>
    <w:p w:rsidR="00A400FD" w:rsidRDefault="007B1E59" w:rsidP="00A400FD">
      <w:pPr>
        <w:tabs>
          <w:tab w:val="left" w:pos="567"/>
          <w:tab w:val="left" w:pos="1134"/>
        </w:tabs>
        <w:spacing w:after="0"/>
        <w:rPr>
          <w:rFonts w:cs="Arial"/>
          <w:highlight w:val="yellow"/>
        </w:rPr>
      </w:pPr>
    </w:p>
    <w:p w:rsidR="00A400FD" w:rsidRPr="00824436" w:rsidRDefault="00F0743D" w:rsidP="00A400FD">
      <w:pPr>
        <w:tabs>
          <w:tab w:val="left" w:pos="567"/>
          <w:tab w:val="left" w:pos="1134"/>
        </w:tabs>
        <w:spacing w:after="0"/>
        <w:rPr>
          <w:rFonts w:cs="Arial"/>
          <w:b/>
        </w:rPr>
      </w:pPr>
      <w:r w:rsidRPr="00824436">
        <w:rPr>
          <w:rFonts w:cs="Arial"/>
          <w:b/>
        </w:rPr>
        <w:t>5.4 Children's Social Care</w:t>
      </w:r>
    </w:p>
    <w:p w:rsidR="00A400FD" w:rsidRPr="00824436" w:rsidRDefault="007B1E59" w:rsidP="00A400FD">
      <w:pPr>
        <w:tabs>
          <w:tab w:val="left" w:pos="567"/>
          <w:tab w:val="left" w:pos="1134"/>
        </w:tabs>
        <w:spacing w:after="0"/>
        <w:rPr>
          <w:rFonts w:cs="Arial"/>
          <w:b/>
        </w:rPr>
      </w:pPr>
    </w:p>
    <w:p w:rsidR="00A400FD" w:rsidRPr="00824436" w:rsidRDefault="00F0743D" w:rsidP="00A400FD">
      <w:pPr>
        <w:tabs>
          <w:tab w:val="left" w:pos="567"/>
          <w:tab w:val="left" w:pos="1134"/>
        </w:tabs>
        <w:spacing w:after="0"/>
        <w:rPr>
          <w:rFonts w:cs="Arial"/>
        </w:rPr>
      </w:pPr>
      <w:r>
        <w:rPr>
          <w:rFonts w:cs="Arial"/>
        </w:rPr>
        <w:t>Children's social c</w:t>
      </w:r>
      <w:r w:rsidRPr="00824436">
        <w:rPr>
          <w:rFonts w:cs="Arial"/>
        </w:rPr>
        <w:t>are demand levels are forecast to continue to increase, particularly within agency residential placements, agency foster</w:t>
      </w:r>
      <w:r>
        <w:rPr>
          <w:rFonts w:cs="Arial"/>
        </w:rPr>
        <w:t>ing placements and also special g</w:t>
      </w:r>
      <w:r w:rsidRPr="00824436">
        <w:rPr>
          <w:rFonts w:cs="Arial"/>
        </w:rPr>
        <w:t xml:space="preserve">uardianship </w:t>
      </w:r>
      <w:r>
        <w:rPr>
          <w:rFonts w:cs="Arial"/>
        </w:rPr>
        <w:t>o</w:t>
      </w:r>
      <w:r w:rsidRPr="00824436">
        <w:rPr>
          <w:rFonts w:cs="Arial"/>
        </w:rPr>
        <w:t>rders. Although the rate of growth is quite volatile, over recent months the rate of growth has slowed</w:t>
      </w:r>
      <w:r>
        <w:rPr>
          <w:rFonts w:cs="Arial"/>
        </w:rPr>
        <w:t xml:space="preserve"> down slightly</w:t>
      </w:r>
      <w:r w:rsidRPr="00824436">
        <w:rPr>
          <w:rFonts w:cs="Arial"/>
        </w:rPr>
        <w:t xml:space="preserve">. </w:t>
      </w:r>
    </w:p>
    <w:p w:rsidR="00A400FD" w:rsidRPr="00824436" w:rsidRDefault="007B1E59" w:rsidP="00A400FD">
      <w:pPr>
        <w:tabs>
          <w:tab w:val="left" w:pos="567"/>
          <w:tab w:val="left" w:pos="1134"/>
        </w:tabs>
        <w:spacing w:after="0"/>
        <w:rPr>
          <w:rFonts w:cs="Arial"/>
        </w:rPr>
      </w:pPr>
    </w:p>
    <w:p w:rsidR="00A400FD" w:rsidRDefault="00F0743D" w:rsidP="00A400FD">
      <w:pPr>
        <w:tabs>
          <w:tab w:val="left" w:pos="567"/>
          <w:tab w:val="left" w:pos="1134"/>
        </w:tabs>
        <w:spacing w:after="0"/>
        <w:rPr>
          <w:rFonts w:cs="Arial"/>
        </w:rPr>
      </w:pPr>
      <w:r w:rsidRPr="00824436">
        <w:rPr>
          <w:rFonts w:cs="Arial"/>
        </w:rPr>
        <w:t>Significant addi</w:t>
      </w:r>
      <w:r>
        <w:rPr>
          <w:rFonts w:cs="Arial"/>
        </w:rPr>
        <w:t>tional budget was allocated to children's s</w:t>
      </w:r>
      <w:r w:rsidRPr="00824436">
        <w:rPr>
          <w:rFonts w:cs="Arial"/>
        </w:rPr>
        <w:t xml:space="preserve">ocial support improvements and demand pressures over the past 3 years. An assumption within this MTFS is made that demand will plateau in future years, with a reducing demand increase built into future year's budget. </w:t>
      </w:r>
    </w:p>
    <w:p w:rsidR="00A400FD" w:rsidRDefault="007B1E59" w:rsidP="00A400FD">
      <w:pPr>
        <w:tabs>
          <w:tab w:val="left" w:pos="567"/>
          <w:tab w:val="left" w:pos="1134"/>
        </w:tabs>
        <w:spacing w:after="0"/>
        <w:rPr>
          <w:rFonts w:cs="Arial"/>
        </w:rPr>
      </w:pPr>
    </w:p>
    <w:p w:rsidR="00A400FD" w:rsidRDefault="00F0743D" w:rsidP="00A400FD">
      <w:pPr>
        <w:tabs>
          <w:tab w:val="left" w:pos="567"/>
          <w:tab w:val="left" w:pos="1134"/>
        </w:tabs>
        <w:spacing w:after="0"/>
        <w:rPr>
          <w:rFonts w:cs="Arial"/>
        </w:rPr>
      </w:pPr>
      <w:r>
        <w:rPr>
          <w:rFonts w:cs="Arial"/>
        </w:rPr>
        <w:t xml:space="preserve">Since the last MTFS report the service has received the outcome of the recent Ofsted inspection which resulted in an improved rating of "requires improvement" and is working on the improvement implementation plan which will further inform the forecasts of future service demands. </w:t>
      </w:r>
    </w:p>
    <w:p w:rsidR="00A400FD" w:rsidRDefault="007B1E59" w:rsidP="00A400FD">
      <w:pPr>
        <w:tabs>
          <w:tab w:val="left" w:pos="567"/>
          <w:tab w:val="left" w:pos="1134"/>
        </w:tabs>
        <w:spacing w:after="0"/>
        <w:rPr>
          <w:rFonts w:cs="Arial"/>
        </w:rPr>
      </w:pPr>
    </w:p>
    <w:p w:rsidR="00A400FD" w:rsidRDefault="00F0743D" w:rsidP="00A400FD">
      <w:pPr>
        <w:tabs>
          <w:tab w:val="left" w:pos="567"/>
          <w:tab w:val="left" w:pos="1134"/>
        </w:tabs>
        <w:spacing w:after="0"/>
        <w:rPr>
          <w:rFonts w:cs="Arial"/>
          <w:b/>
        </w:rPr>
      </w:pPr>
      <w:r w:rsidRPr="004D3178">
        <w:rPr>
          <w:rFonts w:cs="Arial"/>
          <w:b/>
        </w:rPr>
        <w:t>5.5 Troubled Families Funding</w:t>
      </w:r>
    </w:p>
    <w:p w:rsidR="00A400FD" w:rsidRDefault="007B1E59" w:rsidP="00A400FD">
      <w:pPr>
        <w:tabs>
          <w:tab w:val="left" w:pos="567"/>
          <w:tab w:val="left" w:pos="1134"/>
        </w:tabs>
        <w:spacing w:after="0"/>
        <w:rPr>
          <w:rFonts w:cs="Arial"/>
          <w:b/>
        </w:rPr>
      </w:pPr>
    </w:p>
    <w:p w:rsidR="00A400FD" w:rsidRPr="004D3178" w:rsidRDefault="00F0743D" w:rsidP="00A400FD">
      <w:pPr>
        <w:tabs>
          <w:tab w:val="left" w:pos="567"/>
          <w:tab w:val="left" w:pos="1134"/>
        </w:tabs>
        <w:spacing w:after="0"/>
        <w:rPr>
          <w:rFonts w:cs="Arial"/>
        </w:rPr>
      </w:pPr>
      <w:r>
        <w:rPr>
          <w:rFonts w:cs="Arial"/>
        </w:rPr>
        <w:t xml:space="preserve">The county council currently receives funding towards working with troubled families. Within the MTFS funding levels that we have received written confirmation for are included, but post 2019/20 there is no information available as to whether this funding will continue. It is therefore currently assumed that funding levels will remain at 2019/20 levels. If the funding does cease this will result in a pressure on the budget of £2.1m. Given the lack of clarity we have discussed this with other Local Authorities in a similar position, as to the approach they are taking, and they have confirmed that they are also forecasting the funding to continue, but this will be closely monitored as announcements relating to funding are made in the </w:t>
      </w:r>
      <w:proofErr w:type="gramStart"/>
      <w:r>
        <w:rPr>
          <w:rFonts w:cs="Arial"/>
        </w:rPr>
        <w:t>Autumn</w:t>
      </w:r>
      <w:proofErr w:type="gramEnd"/>
      <w:r>
        <w:rPr>
          <w:rFonts w:cs="Arial"/>
        </w:rPr>
        <w:t xml:space="preserve">, and outcomes reflected in future MTFS reports. </w:t>
      </w:r>
    </w:p>
    <w:p w:rsidR="00A400FD" w:rsidRPr="00084CD2" w:rsidRDefault="007B1E59" w:rsidP="00A400FD">
      <w:pPr>
        <w:tabs>
          <w:tab w:val="left" w:pos="567"/>
          <w:tab w:val="left" w:pos="1134"/>
        </w:tabs>
        <w:spacing w:after="0"/>
        <w:rPr>
          <w:rFonts w:cs="Arial"/>
          <w:b/>
          <w:highlight w:val="yellow"/>
        </w:rPr>
      </w:pPr>
    </w:p>
    <w:p w:rsidR="00A400FD" w:rsidRPr="00084CD2" w:rsidRDefault="007B1E59" w:rsidP="00A400FD">
      <w:pPr>
        <w:tabs>
          <w:tab w:val="left" w:pos="567"/>
          <w:tab w:val="left" w:pos="1134"/>
        </w:tabs>
        <w:spacing w:after="0"/>
        <w:rPr>
          <w:rFonts w:cs="Arial"/>
          <w:highlight w:val="yellow"/>
        </w:rPr>
      </w:pPr>
    </w:p>
    <w:p w:rsidR="00A400FD" w:rsidRPr="00084CD2" w:rsidRDefault="007B1E59" w:rsidP="00A400FD">
      <w:pPr>
        <w:tabs>
          <w:tab w:val="left" w:pos="567"/>
          <w:tab w:val="left" w:pos="1134"/>
        </w:tabs>
        <w:spacing w:after="0"/>
        <w:rPr>
          <w:rFonts w:cs="Arial"/>
          <w:highlight w:val="yellow"/>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Default="007B1E59" w:rsidP="00A400FD">
      <w:pPr>
        <w:tabs>
          <w:tab w:val="left" w:pos="567"/>
          <w:tab w:val="left" w:pos="1134"/>
        </w:tabs>
        <w:spacing w:after="0"/>
        <w:rPr>
          <w:rFonts w:cs="Arial"/>
        </w:rPr>
      </w:pPr>
    </w:p>
    <w:p w:rsidR="00A400FD" w:rsidRPr="00882976" w:rsidRDefault="007B1E59" w:rsidP="00A400FD">
      <w:pPr>
        <w:tabs>
          <w:tab w:val="left" w:pos="567"/>
          <w:tab w:val="left" w:pos="1134"/>
        </w:tabs>
        <w:spacing w:after="0"/>
        <w:rPr>
          <w:rFonts w:cs="Arial"/>
        </w:rPr>
      </w:pPr>
    </w:p>
    <w:sectPr w:rsidR="00A400FD" w:rsidRPr="00882976" w:rsidSect="00A400FD">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07" w:rsidRDefault="00F0743D">
      <w:pPr>
        <w:spacing w:after="0"/>
      </w:pPr>
      <w:r>
        <w:separator/>
      </w:r>
    </w:p>
  </w:endnote>
  <w:endnote w:type="continuationSeparator" w:id="0">
    <w:p w:rsidR="00BF5007" w:rsidRDefault="00F07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A400FD" w:rsidRDefault="00F0743D" w:rsidP="00F0743D">
        <w:pPr>
          <w:pStyle w:val="Footer"/>
          <w:jc w:val="right"/>
        </w:pPr>
        <w:r>
          <w:fldChar w:fldCharType="begin"/>
        </w:r>
        <w:r>
          <w:instrText xml:space="preserve"> PAGE   \* MERGEFORMAT </w:instrText>
        </w:r>
        <w:r>
          <w:fldChar w:fldCharType="separate"/>
        </w:r>
        <w:r w:rsidR="007B1E59">
          <w:rPr>
            <w:noProof/>
          </w:rPr>
          <w:t>16</w:t>
        </w:r>
        <w:r>
          <w:rPr>
            <w:noProof/>
          </w:rPr>
          <w:fldChar w:fldCharType="end"/>
        </w:r>
      </w:p>
    </w:sdtContent>
  </w:sdt>
  <w:p w:rsidR="00A400FD" w:rsidRDefault="007B1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07" w:rsidRDefault="00F0743D">
      <w:pPr>
        <w:spacing w:after="0"/>
      </w:pPr>
      <w:r>
        <w:separator/>
      </w:r>
    </w:p>
  </w:footnote>
  <w:footnote w:type="continuationSeparator" w:id="0">
    <w:p w:rsidR="00BF5007" w:rsidRDefault="00F074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FD" w:rsidRDefault="007B1E59">
    <w:pPr>
      <w:pStyle w:val="Header"/>
    </w:pPr>
    <w:sdt>
      <w:sdtPr>
        <w:id w:val="-2063089987"/>
        <w:docPartObj>
          <w:docPartGallery w:val="Page Numbers (Top of Page)"/>
          <w:docPartUnique/>
        </w:docPartObj>
      </w:sdtPr>
      <w:sdtEndPr>
        <w:rPr>
          <w:noProof/>
        </w:rPr>
      </w:sdtEndPr>
      <w:sdtContent>
        <w:r w:rsidR="00F0743D">
          <w:fldChar w:fldCharType="begin"/>
        </w:r>
        <w:r w:rsidR="00F0743D">
          <w:instrText xml:space="preserve"> PAGE   \* MERGEFORMAT </w:instrText>
        </w:r>
        <w:r w:rsidR="00F0743D">
          <w:fldChar w:fldCharType="separate"/>
        </w:r>
        <w:r>
          <w:rPr>
            <w:noProof/>
          </w:rPr>
          <w:t>16</w:t>
        </w:r>
        <w:r w:rsidR="00F0743D">
          <w:rPr>
            <w:noProof/>
          </w:rPr>
          <w:fldChar w:fldCharType="end"/>
        </w:r>
      </w:sdtContent>
    </w:sdt>
  </w:p>
  <w:p w:rsidR="00A400FD" w:rsidRDefault="007B1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FD" w:rsidRDefault="00F0743D" w:rsidP="00A400FD">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D8F2334C">
      <w:start w:val="1"/>
      <w:numFmt w:val="bullet"/>
      <w:lvlText w:val="o"/>
      <w:lvlJc w:val="left"/>
      <w:pPr>
        <w:ind w:left="1222" w:hanging="360"/>
      </w:pPr>
      <w:rPr>
        <w:rFonts w:ascii="Courier New" w:hAnsi="Courier New" w:cs="Courier New" w:hint="default"/>
      </w:rPr>
    </w:lvl>
    <w:lvl w:ilvl="1" w:tplc="7B8C1BA8" w:tentative="1">
      <w:start w:val="1"/>
      <w:numFmt w:val="bullet"/>
      <w:lvlText w:val="o"/>
      <w:lvlJc w:val="left"/>
      <w:pPr>
        <w:ind w:left="1942" w:hanging="360"/>
      </w:pPr>
      <w:rPr>
        <w:rFonts w:ascii="Courier New" w:hAnsi="Courier New" w:cs="Courier New" w:hint="default"/>
      </w:rPr>
    </w:lvl>
    <w:lvl w:ilvl="2" w:tplc="61E06AC8" w:tentative="1">
      <w:start w:val="1"/>
      <w:numFmt w:val="bullet"/>
      <w:lvlText w:val=""/>
      <w:lvlJc w:val="left"/>
      <w:pPr>
        <w:ind w:left="2662" w:hanging="360"/>
      </w:pPr>
      <w:rPr>
        <w:rFonts w:ascii="Wingdings" w:hAnsi="Wingdings" w:hint="default"/>
      </w:rPr>
    </w:lvl>
    <w:lvl w:ilvl="3" w:tplc="FDC658B2" w:tentative="1">
      <w:start w:val="1"/>
      <w:numFmt w:val="bullet"/>
      <w:lvlText w:val=""/>
      <w:lvlJc w:val="left"/>
      <w:pPr>
        <w:ind w:left="3382" w:hanging="360"/>
      </w:pPr>
      <w:rPr>
        <w:rFonts w:ascii="Symbol" w:hAnsi="Symbol" w:hint="default"/>
      </w:rPr>
    </w:lvl>
    <w:lvl w:ilvl="4" w:tplc="060C6D32" w:tentative="1">
      <w:start w:val="1"/>
      <w:numFmt w:val="bullet"/>
      <w:lvlText w:val="o"/>
      <w:lvlJc w:val="left"/>
      <w:pPr>
        <w:ind w:left="4102" w:hanging="360"/>
      </w:pPr>
      <w:rPr>
        <w:rFonts w:ascii="Courier New" w:hAnsi="Courier New" w:cs="Courier New" w:hint="default"/>
      </w:rPr>
    </w:lvl>
    <w:lvl w:ilvl="5" w:tplc="857662EE" w:tentative="1">
      <w:start w:val="1"/>
      <w:numFmt w:val="bullet"/>
      <w:lvlText w:val=""/>
      <w:lvlJc w:val="left"/>
      <w:pPr>
        <w:ind w:left="4822" w:hanging="360"/>
      </w:pPr>
      <w:rPr>
        <w:rFonts w:ascii="Wingdings" w:hAnsi="Wingdings" w:hint="default"/>
      </w:rPr>
    </w:lvl>
    <w:lvl w:ilvl="6" w:tplc="BC4C5B2A" w:tentative="1">
      <w:start w:val="1"/>
      <w:numFmt w:val="bullet"/>
      <w:lvlText w:val=""/>
      <w:lvlJc w:val="left"/>
      <w:pPr>
        <w:ind w:left="5542" w:hanging="360"/>
      </w:pPr>
      <w:rPr>
        <w:rFonts w:ascii="Symbol" w:hAnsi="Symbol" w:hint="default"/>
      </w:rPr>
    </w:lvl>
    <w:lvl w:ilvl="7" w:tplc="BC2A2E50" w:tentative="1">
      <w:start w:val="1"/>
      <w:numFmt w:val="bullet"/>
      <w:lvlText w:val="o"/>
      <w:lvlJc w:val="left"/>
      <w:pPr>
        <w:ind w:left="6262" w:hanging="360"/>
      </w:pPr>
      <w:rPr>
        <w:rFonts w:ascii="Courier New" w:hAnsi="Courier New" w:cs="Courier New" w:hint="default"/>
      </w:rPr>
    </w:lvl>
    <w:lvl w:ilvl="8" w:tplc="1B1C7B58"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DE378D"/>
    <w:multiLevelType w:val="hybridMultilevel"/>
    <w:tmpl w:val="669255CA"/>
    <w:lvl w:ilvl="0" w:tplc="8F9A849E">
      <w:start w:val="1"/>
      <w:numFmt w:val="bullet"/>
      <w:pStyle w:val="Bullet"/>
      <w:lvlText w:val=""/>
      <w:lvlJc w:val="left"/>
      <w:pPr>
        <w:ind w:left="363" w:hanging="360"/>
      </w:pPr>
      <w:rPr>
        <w:rFonts w:ascii="Symbol" w:hAnsi="Symbol" w:hint="default"/>
      </w:rPr>
    </w:lvl>
    <w:lvl w:ilvl="1" w:tplc="184EBFF4">
      <w:start w:val="1"/>
      <w:numFmt w:val="bullet"/>
      <w:pStyle w:val="Bullet-indent"/>
      <w:lvlText w:val="o"/>
      <w:lvlJc w:val="left"/>
      <w:pPr>
        <w:ind w:left="1083" w:hanging="360"/>
      </w:pPr>
      <w:rPr>
        <w:rFonts w:ascii="Courier New" w:hAnsi="Courier New" w:cs="Courier New" w:hint="default"/>
      </w:rPr>
    </w:lvl>
    <w:lvl w:ilvl="2" w:tplc="74BE3560" w:tentative="1">
      <w:start w:val="1"/>
      <w:numFmt w:val="bullet"/>
      <w:lvlText w:val=""/>
      <w:lvlJc w:val="left"/>
      <w:pPr>
        <w:ind w:left="1803" w:hanging="360"/>
      </w:pPr>
      <w:rPr>
        <w:rFonts w:ascii="Wingdings" w:hAnsi="Wingdings" w:hint="default"/>
      </w:rPr>
    </w:lvl>
    <w:lvl w:ilvl="3" w:tplc="1B003794" w:tentative="1">
      <w:start w:val="1"/>
      <w:numFmt w:val="bullet"/>
      <w:lvlText w:val=""/>
      <w:lvlJc w:val="left"/>
      <w:pPr>
        <w:ind w:left="2523" w:hanging="360"/>
      </w:pPr>
      <w:rPr>
        <w:rFonts w:ascii="Symbol" w:hAnsi="Symbol" w:hint="default"/>
      </w:rPr>
    </w:lvl>
    <w:lvl w:ilvl="4" w:tplc="99CEF720" w:tentative="1">
      <w:start w:val="1"/>
      <w:numFmt w:val="bullet"/>
      <w:lvlText w:val="o"/>
      <w:lvlJc w:val="left"/>
      <w:pPr>
        <w:ind w:left="3243" w:hanging="360"/>
      </w:pPr>
      <w:rPr>
        <w:rFonts w:ascii="Courier New" w:hAnsi="Courier New" w:cs="Courier New" w:hint="default"/>
      </w:rPr>
    </w:lvl>
    <w:lvl w:ilvl="5" w:tplc="2D544216" w:tentative="1">
      <w:start w:val="1"/>
      <w:numFmt w:val="bullet"/>
      <w:lvlText w:val=""/>
      <w:lvlJc w:val="left"/>
      <w:pPr>
        <w:ind w:left="3963" w:hanging="360"/>
      </w:pPr>
      <w:rPr>
        <w:rFonts w:ascii="Wingdings" w:hAnsi="Wingdings" w:hint="default"/>
      </w:rPr>
    </w:lvl>
    <w:lvl w:ilvl="6" w:tplc="9EC8E5BA" w:tentative="1">
      <w:start w:val="1"/>
      <w:numFmt w:val="bullet"/>
      <w:lvlText w:val=""/>
      <w:lvlJc w:val="left"/>
      <w:pPr>
        <w:ind w:left="4683" w:hanging="360"/>
      </w:pPr>
      <w:rPr>
        <w:rFonts w:ascii="Symbol" w:hAnsi="Symbol" w:hint="default"/>
      </w:rPr>
    </w:lvl>
    <w:lvl w:ilvl="7" w:tplc="CCB48F2C" w:tentative="1">
      <w:start w:val="1"/>
      <w:numFmt w:val="bullet"/>
      <w:lvlText w:val="o"/>
      <w:lvlJc w:val="left"/>
      <w:pPr>
        <w:ind w:left="5403" w:hanging="360"/>
      </w:pPr>
      <w:rPr>
        <w:rFonts w:ascii="Courier New" w:hAnsi="Courier New" w:cs="Courier New" w:hint="default"/>
      </w:rPr>
    </w:lvl>
    <w:lvl w:ilvl="8" w:tplc="10E458D4" w:tentative="1">
      <w:start w:val="1"/>
      <w:numFmt w:val="bullet"/>
      <w:lvlText w:val=""/>
      <w:lvlJc w:val="left"/>
      <w:pPr>
        <w:ind w:left="6123" w:hanging="360"/>
      </w:pPr>
      <w:rPr>
        <w:rFonts w:ascii="Wingdings" w:hAnsi="Wingdings" w:hint="default"/>
      </w:rPr>
    </w:lvl>
  </w:abstractNum>
  <w:abstractNum w:abstractNumId="24" w15:restartNumberingAfterBreak="0">
    <w:nsid w:val="338E1B06"/>
    <w:multiLevelType w:val="hybridMultilevel"/>
    <w:tmpl w:val="C8C6DC48"/>
    <w:lvl w:ilvl="0" w:tplc="F59AAB3A">
      <w:start w:val="1"/>
      <w:numFmt w:val="bullet"/>
      <w:lvlText w:val=""/>
      <w:lvlJc w:val="left"/>
      <w:pPr>
        <w:ind w:left="720" w:hanging="360"/>
      </w:pPr>
      <w:rPr>
        <w:rFonts w:ascii="Symbol" w:hAnsi="Symbol" w:hint="default"/>
      </w:rPr>
    </w:lvl>
    <w:lvl w:ilvl="1" w:tplc="6D54A414" w:tentative="1">
      <w:start w:val="1"/>
      <w:numFmt w:val="bullet"/>
      <w:lvlText w:val="o"/>
      <w:lvlJc w:val="left"/>
      <w:pPr>
        <w:ind w:left="1440" w:hanging="360"/>
      </w:pPr>
      <w:rPr>
        <w:rFonts w:ascii="Courier New" w:hAnsi="Courier New" w:cs="Courier New" w:hint="default"/>
      </w:rPr>
    </w:lvl>
    <w:lvl w:ilvl="2" w:tplc="0F9C0F8A" w:tentative="1">
      <w:start w:val="1"/>
      <w:numFmt w:val="bullet"/>
      <w:lvlText w:val=""/>
      <w:lvlJc w:val="left"/>
      <w:pPr>
        <w:ind w:left="2160" w:hanging="360"/>
      </w:pPr>
      <w:rPr>
        <w:rFonts w:ascii="Wingdings" w:hAnsi="Wingdings" w:hint="default"/>
      </w:rPr>
    </w:lvl>
    <w:lvl w:ilvl="3" w:tplc="8222D442" w:tentative="1">
      <w:start w:val="1"/>
      <w:numFmt w:val="bullet"/>
      <w:lvlText w:val=""/>
      <w:lvlJc w:val="left"/>
      <w:pPr>
        <w:ind w:left="2880" w:hanging="360"/>
      </w:pPr>
      <w:rPr>
        <w:rFonts w:ascii="Symbol" w:hAnsi="Symbol" w:hint="default"/>
      </w:rPr>
    </w:lvl>
    <w:lvl w:ilvl="4" w:tplc="A1D03A18" w:tentative="1">
      <w:start w:val="1"/>
      <w:numFmt w:val="bullet"/>
      <w:lvlText w:val="o"/>
      <w:lvlJc w:val="left"/>
      <w:pPr>
        <w:ind w:left="3600" w:hanging="360"/>
      </w:pPr>
      <w:rPr>
        <w:rFonts w:ascii="Courier New" w:hAnsi="Courier New" w:cs="Courier New" w:hint="default"/>
      </w:rPr>
    </w:lvl>
    <w:lvl w:ilvl="5" w:tplc="1FF67C62" w:tentative="1">
      <w:start w:val="1"/>
      <w:numFmt w:val="bullet"/>
      <w:lvlText w:val=""/>
      <w:lvlJc w:val="left"/>
      <w:pPr>
        <w:ind w:left="4320" w:hanging="360"/>
      </w:pPr>
      <w:rPr>
        <w:rFonts w:ascii="Wingdings" w:hAnsi="Wingdings" w:hint="default"/>
      </w:rPr>
    </w:lvl>
    <w:lvl w:ilvl="6" w:tplc="3FA05E60" w:tentative="1">
      <w:start w:val="1"/>
      <w:numFmt w:val="bullet"/>
      <w:lvlText w:val=""/>
      <w:lvlJc w:val="left"/>
      <w:pPr>
        <w:ind w:left="5040" w:hanging="360"/>
      </w:pPr>
      <w:rPr>
        <w:rFonts w:ascii="Symbol" w:hAnsi="Symbol" w:hint="default"/>
      </w:rPr>
    </w:lvl>
    <w:lvl w:ilvl="7" w:tplc="2628548C" w:tentative="1">
      <w:start w:val="1"/>
      <w:numFmt w:val="bullet"/>
      <w:lvlText w:val="o"/>
      <w:lvlJc w:val="left"/>
      <w:pPr>
        <w:ind w:left="5760" w:hanging="360"/>
      </w:pPr>
      <w:rPr>
        <w:rFonts w:ascii="Courier New" w:hAnsi="Courier New" w:cs="Courier New" w:hint="default"/>
      </w:rPr>
    </w:lvl>
    <w:lvl w:ilvl="8" w:tplc="F25406E6" w:tentative="1">
      <w:start w:val="1"/>
      <w:numFmt w:val="bullet"/>
      <w:lvlText w:val=""/>
      <w:lvlJc w:val="left"/>
      <w:pPr>
        <w:ind w:left="6480" w:hanging="360"/>
      </w:pPr>
      <w:rPr>
        <w:rFonts w:ascii="Wingdings" w:hAnsi="Wingdings" w:hint="default"/>
      </w:rPr>
    </w:lvl>
  </w:abstractNum>
  <w:abstractNum w:abstractNumId="25" w15:restartNumberingAfterBreak="0">
    <w:nsid w:val="37573839"/>
    <w:multiLevelType w:val="hybridMultilevel"/>
    <w:tmpl w:val="5118811A"/>
    <w:lvl w:ilvl="0" w:tplc="99189B8C">
      <w:start w:val="1"/>
      <w:numFmt w:val="bullet"/>
      <w:lvlText w:val=""/>
      <w:lvlJc w:val="left"/>
      <w:pPr>
        <w:ind w:left="786" w:hanging="360"/>
      </w:pPr>
      <w:rPr>
        <w:rFonts w:ascii="Symbol" w:hAnsi="Symbol" w:hint="default"/>
      </w:rPr>
    </w:lvl>
    <w:lvl w:ilvl="1" w:tplc="C0B44FE8" w:tentative="1">
      <w:start w:val="1"/>
      <w:numFmt w:val="bullet"/>
      <w:lvlText w:val="o"/>
      <w:lvlJc w:val="left"/>
      <w:pPr>
        <w:ind w:left="1506" w:hanging="360"/>
      </w:pPr>
      <w:rPr>
        <w:rFonts w:ascii="Courier New" w:hAnsi="Courier New" w:cs="Courier New" w:hint="default"/>
      </w:rPr>
    </w:lvl>
    <w:lvl w:ilvl="2" w:tplc="F02E95C2" w:tentative="1">
      <w:start w:val="1"/>
      <w:numFmt w:val="bullet"/>
      <w:lvlText w:val=""/>
      <w:lvlJc w:val="left"/>
      <w:pPr>
        <w:ind w:left="2226" w:hanging="360"/>
      </w:pPr>
      <w:rPr>
        <w:rFonts w:ascii="Wingdings" w:hAnsi="Wingdings" w:hint="default"/>
      </w:rPr>
    </w:lvl>
    <w:lvl w:ilvl="3" w:tplc="C31805D6" w:tentative="1">
      <w:start w:val="1"/>
      <w:numFmt w:val="bullet"/>
      <w:lvlText w:val=""/>
      <w:lvlJc w:val="left"/>
      <w:pPr>
        <w:ind w:left="2946" w:hanging="360"/>
      </w:pPr>
      <w:rPr>
        <w:rFonts w:ascii="Symbol" w:hAnsi="Symbol" w:hint="default"/>
      </w:rPr>
    </w:lvl>
    <w:lvl w:ilvl="4" w:tplc="65724BB2" w:tentative="1">
      <w:start w:val="1"/>
      <w:numFmt w:val="bullet"/>
      <w:lvlText w:val="o"/>
      <w:lvlJc w:val="left"/>
      <w:pPr>
        <w:ind w:left="3666" w:hanging="360"/>
      </w:pPr>
      <w:rPr>
        <w:rFonts w:ascii="Courier New" w:hAnsi="Courier New" w:cs="Courier New" w:hint="default"/>
      </w:rPr>
    </w:lvl>
    <w:lvl w:ilvl="5" w:tplc="7DA23664" w:tentative="1">
      <w:start w:val="1"/>
      <w:numFmt w:val="bullet"/>
      <w:lvlText w:val=""/>
      <w:lvlJc w:val="left"/>
      <w:pPr>
        <w:ind w:left="4386" w:hanging="360"/>
      </w:pPr>
      <w:rPr>
        <w:rFonts w:ascii="Wingdings" w:hAnsi="Wingdings" w:hint="default"/>
      </w:rPr>
    </w:lvl>
    <w:lvl w:ilvl="6" w:tplc="194498B0" w:tentative="1">
      <w:start w:val="1"/>
      <w:numFmt w:val="bullet"/>
      <w:lvlText w:val=""/>
      <w:lvlJc w:val="left"/>
      <w:pPr>
        <w:ind w:left="5106" w:hanging="360"/>
      </w:pPr>
      <w:rPr>
        <w:rFonts w:ascii="Symbol" w:hAnsi="Symbol" w:hint="default"/>
      </w:rPr>
    </w:lvl>
    <w:lvl w:ilvl="7" w:tplc="38321D26" w:tentative="1">
      <w:start w:val="1"/>
      <w:numFmt w:val="bullet"/>
      <w:lvlText w:val="o"/>
      <w:lvlJc w:val="left"/>
      <w:pPr>
        <w:ind w:left="5826" w:hanging="360"/>
      </w:pPr>
      <w:rPr>
        <w:rFonts w:ascii="Courier New" w:hAnsi="Courier New" w:cs="Courier New" w:hint="default"/>
      </w:rPr>
    </w:lvl>
    <w:lvl w:ilvl="8" w:tplc="C032F6EC" w:tentative="1">
      <w:start w:val="1"/>
      <w:numFmt w:val="bullet"/>
      <w:lvlText w:val=""/>
      <w:lvlJc w:val="left"/>
      <w:pPr>
        <w:ind w:left="6546" w:hanging="360"/>
      </w:pPr>
      <w:rPr>
        <w:rFonts w:ascii="Wingdings" w:hAnsi="Wingdings" w:hint="default"/>
      </w:rPr>
    </w:lvl>
  </w:abstractNum>
  <w:abstractNum w:abstractNumId="26" w15:restartNumberingAfterBreak="0">
    <w:nsid w:val="3CD21179"/>
    <w:multiLevelType w:val="hybridMultilevel"/>
    <w:tmpl w:val="FC2CECA6"/>
    <w:lvl w:ilvl="0" w:tplc="5514666C">
      <w:start w:val="1"/>
      <w:numFmt w:val="bullet"/>
      <w:lvlText w:val=""/>
      <w:lvlJc w:val="left"/>
      <w:pPr>
        <w:ind w:left="720" w:hanging="360"/>
      </w:pPr>
      <w:rPr>
        <w:rFonts w:ascii="Symbol" w:hAnsi="Symbol" w:hint="default"/>
      </w:rPr>
    </w:lvl>
    <w:lvl w:ilvl="1" w:tplc="95428D9A">
      <w:start w:val="1"/>
      <w:numFmt w:val="bullet"/>
      <w:lvlText w:val="o"/>
      <w:lvlJc w:val="left"/>
      <w:pPr>
        <w:ind w:left="1353" w:hanging="360"/>
      </w:pPr>
      <w:rPr>
        <w:rFonts w:ascii="Courier New" w:hAnsi="Courier New" w:cs="Courier New" w:hint="default"/>
      </w:rPr>
    </w:lvl>
    <w:lvl w:ilvl="2" w:tplc="B1D25178">
      <w:start w:val="1"/>
      <w:numFmt w:val="bullet"/>
      <w:lvlText w:val=""/>
      <w:lvlJc w:val="left"/>
      <w:pPr>
        <w:ind w:left="2160" w:hanging="360"/>
      </w:pPr>
      <w:rPr>
        <w:rFonts w:ascii="Wingdings" w:hAnsi="Wingdings" w:hint="default"/>
      </w:rPr>
    </w:lvl>
    <w:lvl w:ilvl="3" w:tplc="ECBEF854" w:tentative="1">
      <w:start w:val="1"/>
      <w:numFmt w:val="bullet"/>
      <w:lvlText w:val=""/>
      <w:lvlJc w:val="left"/>
      <w:pPr>
        <w:ind w:left="2880" w:hanging="360"/>
      </w:pPr>
      <w:rPr>
        <w:rFonts w:ascii="Symbol" w:hAnsi="Symbol" w:hint="default"/>
      </w:rPr>
    </w:lvl>
    <w:lvl w:ilvl="4" w:tplc="4D9478B0" w:tentative="1">
      <w:start w:val="1"/>
      <w:numFmt w:val="bullet"/>
      <w:lvlText w:val="o"/>
      <w:lvlJc w:val="left"/>
      <w:pPr>
        <w:ind w:left="3600" w:hanging="360"/>
      </w:pPr>
      <w:rPr>
        <w:rFonts w:ascii="Courier New" w:hAnsi="Courier New" w:cs="Courier New" w:hint="default"/>
      </w:rPr>
    </w:lvl>
    <w:lvl w:ilvl="5" w:tplc="53A45064" w:tentative="1">
      <w:start w:val="1"/>
      <w:numFmt w:val="bullet"/>
      <w:lvlText w:val=""/>
      <w:lvlJc w:val="left"/>
      <w:pPr>
        <w:ind w:left="4320" w:hanging="360"/>
      </w:pPr>
      <w:rPr>
        <w:rFonts w:ascii="Wingdings" w:hAnsi="Wingdings" w:hint="default"/>
      </w:rPr>
    </w:lvl>
    <w:lvl w:ilvl="6" w:tplc="71F07D72" w:tentative="1">
      <w:start w:val="1"/>
      <w:numFmt w:val="bullet"/>
      <w:lvlText w:val=""/>
      <w:lvlJc w:val="left"/>
      <w:pPr>
        <w:ind w:left="5040" w:hanging="360"/>
      </w:pPr>
      <w:rPr>
        <w:rFonts w:ascii="Symbol" w:hAnsi="Symbol" w:hint="default"/>
      </w:rPr>
    </w:lvl>
    <w:lvl w:ilvl="7" w:tplc="23B8B610" w:tentative="1">
      <w:start w:val="1"/>
      <w:numFmt w:val="bullet"/>
      <w:lvlText w:val="o"/>
      <w:lvlJc w:val="left"/>
      <w:pPr>
        <w:ind w:left="5760" w:hanging="360"/>
      </w:pPr>
      <w:rPr>
        <w:rFonts w:ascii="Courier New" w:hAnsi="Courier New" w:cs="Courier New" w:hint="default"/>
      </w:rPr>
    </w:lvl>
    <w:lvl w:ilvl="8" w:tplc="296221D4" w:tentative="1">
      <w:start w:val="1"/>
      <w:numFmt w:val="bullet"/>
      <w:lvlText w:val=""/>
      <w:lvlJc w:val="left"/>
      <w:pPr>
        <w:ind w:left="6480" w:hanging="360"/>
      </w:pPr>
      <w:rPr>
        <w:rFonts w:ascii="Wingdings" w:hAnsi="Wingdings" w:hint="default"/>
      </w:rPr>
    </w:lvl>
  </w:abstractNum>
  <w:abstractNum w:abstractNumId="27" w15:restartNumberingAfterBreak="0">
    <w:nsid w:val="420860A3"/>
    <w:multiLevelType w:val="hybridMultilevel"/>
    <w:tmpl w:val="2DF6A548"/>
    <w:lvl w:ilvl="0" w:tplc="25A21124">
      <w:start w:val="1"/>
      <w:numFmt w:val="decimal"/>
      <w:pStyle w:val="Heading2-numbered"/>
      <w:lvlText w:val="%1."/>
      <w:lvlJc w:val="left"/>
      <w:pPr>
        <w:ind w:left="360" w:hanging="360"/>
      </w:pPr>
    </w:lvl>
    <w:lvl w:ilvl="1" w:tplc="F6C2279E" w:tentative="1">
      <w:start w:val="1"/>
      <w:numFmt w:val="lowerLetter"/>
      <w:lvlText w:val="%2."/>
      <w:lvlJc w:val="left"/>
      <w:pPr>
        <w:ind w:left="1080" w:hanging="360"/>
      </w:pPr>
    </w:lvl>
    <w:lvl w:ilvl="2" w:tplc="57745654" w:tentative="1">
      <w:start w:val="1"/>
      <w:numFmt w:val="lowerRoman"/>
      <w:lvlText w:val="%3."/>
      <w:lvlJc w:val="right"/>
      <w:pPr>
        <w:ind w:left="1800" w:hanging="180"/>
      </w:pPr>
    </w:lvl>
    <w:lvl w:ilvl="3" w:tplc="42900096" w:tentative="1">
      <w:start w:val="1"/>
      <w:numFmt w:val="decimal"/>
      <w:lvlText w:val="%4."/>
      <w:lvlJc w:val="left"/>
      <w:pPr>
        <w:ind w:left="2520" w:hanging="360"/>
      </w:pPr>
    </w:lvl>
    <w:lvl w:ilvl="4" w:tplc="CFCC41C8" w:tentative="1">
      <w:start w:val="1"/>
      <w:numFmt w:val="lowerLetter"/>
      <w:lvlText w:val="%5."/>
      <w:lvlJc w:val="left"/>
      <w:pPr>
        <w:ind w:left="3240" w:hanging="360"/>
      </w:pPr>
    </w:lvl>
    <w:lvl w:ilvl="5" w:tplc="23FCBBAA" w:tentative="1">
      <w:start w:val="1"/>
      <w:numFmt w:val="lowerRoman"/>
      <w:lvlText w:val="%6."/>
      <w:lvlJc w:val="right"/>
      <w:pPr>
        <w:ind w:left="3960" w:hanging="180"/>
      </w:pPr>
    </w:lvl>
    <w:lvl w:ilvl="6" w:tplc="FAE81A28" w:tentative="1">
      <w:start w:val="1"/>
      <w:numFmt w:val="decimal"/>
      <w:lvlText w:val="%7."/>
      <w:lvlJc w:val="left"/>
      <w:pPr>
        <w:ind w:left="4680" w:hanging="360"/>
      </w:pPr>
    </w:lvl>
    <w:lvl w:ilvl="7" w:tplc="C81C7F9C" w:tentative="1">
      <w:start w:val="1"/>
      <w:numFmt w:val="lowerLetter"/>
      <w:lvlText w:val="%8."/>
      <w:lvlJc w:val="left"/>
      <w:pPr>
        <w:ind w:left="5400" w:hanging="360"/>
      </w:pPr>
    </w:lvl>
    <w:lvl w:ilvl="8" w:tplc="173CD9C6" w:tentative="1">
      <w:start w:val="1"/>
      <w:numFmt w:val="lowerRoman"/>
      <w:lvlText w:val="%9."/>
      <w:lvlJc w:val="right"/>
      <w:pPr>
        <w:ind w:left="6120" w:hanging="180"/>
      </w:pPr>
    </w:lvl>
  </w:abstractNum>
  <w:abstractNum w:abstractNumId="28" w15:restartNumberingAfterBreak="0">
    <w:nsid w:val="4E097B18"/>
    <w:multiLevelType w:val="hybridMultilevel"/>
    <w:tmpl w:val="4A8A06F0"/>
    <w:lvl w:ilvl="0" w:tplc="B2F03810">
      <w:start w:val="1"/>
      <w:numFmt w:val="bullet"/>
      <w:lvlText w:val=""/>
      <w:lvlJc w:val="left"/>
      <w:pPr>
        <w:ind w:left="720" w:hanging="360"/>
      </w:pPr>
      <w:rPr>
        <w:rFonts w:ascii="Symbol" w:hAnsi="Symbol" w:hint="default"/>
      </w:rPr>
    </w:lvl>
    <w:lvl w:ilvl="1" w:tplc="1834EA46" w:tentative="1">
      <w:start w:val="1"/>
      <w:numFmt w:val="bullet"/>
      <w:lvlText w:val="o"/>
      <w:lvlJc w:val="left"/>
      <w:pPr>
        <w:ind w:left="1440" w:hanging="360"/>
      </w:pPr>
      <w:rPr>
        <w:rFonts w:ascii="Courier New" w:hAnsi="Courier New" w:cs="Courier New" w:hint="default"/>
      </w:rPr>
    </w:lvl>
    <w:lvl w:ilvl="2" w:tplc="32A677A0" w:tentative="1">
      <w:start w:val="1"/>
      <w:numFmt w:val="bullet"/>
      <w:lvlText w:val=""/>
      <w:lvlJc w:val="left"/>
      <w:pPr>
        <w:ind w:left="2160" w:hanging="360"/>
      </w:pPr>
      <w:rPr>
        <w:rFonts w:ascii="Wingdings" w:hAnsi="Wingdings" w:hint="default"/>
      </w:rPr>
    </w:lvl>
    <w:lvl w:ilvl="3" w:tplc="9F7CE2B6" w:tentative="1">
      <w:start w:val="1"/>
      <w:numFmt w:val="bullet"/>
      <w:lvlText w:val=""/>
      <w:lvlJc w:val="left"/>
      <w:pPr>
        <w:ind w:left="2880" w:hanging="360"/>
      </w:pPr>
      <w:rPr>
        <w:rFonts w:ascii="Symbol" w:hAnsi="Symbol" w:hint="default"/>
      </w:rPr>
    </w:lvl>
    <w:lvl w:ilvl="4" w:tplc="EEA83532" w:tentative="1">
      <w:start w:val="1"/>
      <w:numFmt w:val="bullet"/>
      <w:lvlText w:val="o"/>
      <w:lvlJc w:val="left"/>
      <w:pPr>
        <w:ind w:left="3600" w:hanging="360"/>
      </w:pPr>
      <w:rPr>
        <w:rFonts w:ascii="Courier New" w:hAnsi="Courier New" w:cs="Courier New" w:hint="default"/>
      </w:rPr>
    </w:lvl>
    <w:lvl w:ilvl="5" w:tplc="271E2232" w:tentative="1">
      <w:start w:val="1"/>
      <w:numFmt w:val="bullet"/>
      <w:lvlText w:val=""/>
      <w:lvlJc w:val="left"/>
      <w:pPr>
        <w:ind w:left="4320" w:hanging="360"/>
      </w:pPr>
      <w:rPr>
        <w:rFonts w:ascii="Wingdings" w:hAnsi="Wingdings" w:hint="default"/>
      </w:rPr>
    </w:lvl>
    <w:lvl w:ilvl="6" w:tplc="38465338" w:tentative="1">
      <w:start w:val="1"/>
      <w:numFmt w:val="bullet"/>
      <w:lvlText w:val=""/>
      <w:lvlJc w:val="left"/>
      <w:pPr>
        <w:ind w:left="5040" w:hanging="360"/>
      </w:pPr>
      <w:rPr>
        <w:rFonts w:ascii="Symbol" w:hAnsi="Symbol" w:hint="default"/>
      </w:rPr>
    </w:lvl>
    <w:lvl w:ilvl="7" w:tplc="13CA815A" w:tentative="1">
      <w:start w:val="1"/>
      <w:numFmt w:val="bullet"/>
      <w:lvlText w:val="o"/>
      <w:lvlJc w:val="left"/>
      <w:pPr>
        <w:ind w:left="5760" w:hanging="360"/>
      </w:pPr>
      <w:rPr>
        <w:rFonts w:ascii="Courier New" w:hAnsi="Courier New" w:cs="Courier New" w:hint="default"/>
      </w:rPr>
    </w:lvl>
    <w:lvl w:ilvl="8" w:tplc="FD52F812" w:tentative="1">
      <w:start w:val="1"/>
      <w:numFmt w:val="bullet"/>
      <w:lvlText w:val=""/>
      <w:lvlJc w:val="left"/>
      <w:pPr>
        <w:ind w:left="6480" w:hanging="360"/>
      </w:pPr>
      <w:rPr>
        <w:rFonts w:ascii="Wingdings" w:hAnsi="Wingdings" w:hint="default"/>
      </w:rPr>
    </w:lvl>
  </w:abstractNum>
  <w:abstractNum w:abstractNumId="29" w15:restartNumberingAfterBreak="0">
    <w:nsid w:val="5089630A"/>
    <w:multiLevelType w:val="hybridMultilevel"/>
    <w:tmpl w:val="325691BA"/>
    <w:lvl w:ilvl="0" w:tplc="05D8711C">
      <w:start w:val="1"/>
      <w:numFmt w:val="bullet"/>
      <w:lvlText w:val=""/>
      <w:lvlJc w:val="left"/>
      <w:pPr>
        <w:ind w:left="502" w:hanging="360"/>
      </w:pPr>
      <w:rPr>
        <w:rFonts w:ascii="Symbol" w:hAnsi="Symbol" w:hint="default"/>
      </w:rPr>
    </w:lvl>
    <w:lvl w:ilvl="1" w:tplc="9B38203C" w:tentative="1">
      <w:start w:val="1"/>
      <w:numFmt w:val="bullet"/>
      <w:lvlText w:val="o"/>
      <w:lvlJc w:val="left"/>
      <w:pPr>
        <w:ind w:left="1222" w:hanging="360"/>
      </w:pPr>
      <w:rPr>
        <w:rFonts w:ascii="Courier New" w:hAnsi="Courier New" w:cs="Courier New" w:hint="default"/>
      </w:rPr>
    </w:lvl>
    <w:lvl w:ilvl="2" w:tplc="E228C29E" w:tentative="1">
      <w:start w:val="1"/>
      <w:numFmt w:val="bullet"/>
      <w:lvlText w:val=""/>
      <w:lvlJc w:val="left"/>
      <w:pPr>
        <w:ind w:left="1942" w:hanging="360"/>
      </w:pPr>
      <w:rPr>
        <w:rFonts w:ascii="Wingdings" w:hAnsi="Wingdings" w:hint="default"/>
      </w:rPr>
    </w:lvl>
    <w:lvl w:ilvl="3" w:tplc="9BCED3EA" w:tentative="1">
      <w:start w:val="1"/>
      <w:numFmt w:val="bullet"/>
      <w:lvlText w:val=""/>
      <w:lvlJc w:val="left"/>
      <w:pPr>
        <w:ind w:left="2662" w:hanging="360"/>
      </w:pPr>
      <w:rPr>
        <w:rFonts w:ascii="Symbol" w:hAnsi="Symbol" w:hint="default"/>
      </w:rPr>
    </w:lvl>
    <w:lvl w:ilvl="4" w:tplc="76C02482" w:tentative="1">
      <w:start w:val="1"/>
      <w:numFmt w:val="bullet"/>
      <w:lvlText w:val="o"/>
      <w:lvlJc w:val="left"/>
      <w:pPr>
        <w:ind w:left="3382" w:hanging="360"/>
      </w:pPr>
      <w:rPr>
        <w:rFonts w:ascii="Courier New" w:hAnsi="Courier New" w:cs="Courier New" w:hint="default"/>
      </w:rPr>
    </w:lvl>
    <w:lvl w:ilvl="5" w:tplc="EDA093A4" w:tentative="1">
      <w:start w:val="1"/>
      <w:numFmt w:val="bullet"/>
      <w:lvlText w:val=""/>
      <w:lvlJc w:val="left"/>
      <w:pPr>
        <w:ind w:left="4102" w:hanging="360"/>
      </w:pPr>
      <w:rPr>
        <w:rFonts w:ascii="Wingdings" w:hAnsi="Wingdings" w:hint="default"/>
      </w:rPr>
    </w:lvl>
    <w:lvl w:ilvl="6" w:tplc="90F460F2" w:tentative="1">
      <w:start w:val="1"/>
      <w:numFmt w:val="bullet"/>
      <w:lvlText w:val=""/>
      <w:lvlJc w:val="left"/>
      <w:pPr>
        <w:ind w:left="4822" w:hanging="360"/>
      </w:pPr>
      <w:rPr>
        <w:rFonts w:ascii="Symbol" w:hAnsi="Symbol" w:hint="default"/>
      </w:rPr>
    </w:lvl>
    <w:lvl w:ilvl="7" w:tplc="A6FA6E3A" w:tentative="1">
      <w:start w:val="1"/>
      <w:numFmt w:val="bullet"/>
      <w:lvlText w:val="o"/>
      <w:lvlJc w:val="left"/>
      <w:pPr>
        <w:ind w:left="5542" w:hanging="360"/>
      </w:pPr>
      <w:rPr>
        <w:rFonts w:ascii="Courier New" w:hAnsi="Courier New" w:cs="Courier New" w:hint="default"/>
      </w:rPr>
    </w:lvl>
    <w:lvl w:ilvl="8" w:tplc="02B2D0D6" w:tentative="1">
      <w:start w:val="1"/>
      <w:numFmt w:val="bullet"/>
      <w:lvlText w:val=""/>
      <w:lvlJc w:val="left"/>
      <w:pPr>
        <w:ind w:left="6262" w:hanging="360"/>
      </w:pPr>
      <w:rPr>
        <w:rFonts w:ascii="Wingdings" w:hAnsi="Wingdings" w:hint="default"/>
      </w:rPr>
    </w:lvl>
  </w:abstractNum>
  <w:abstractNum w:abstractNumId="30" w15:restartNumberingAfterBreak="0">
    <w:nsid w:val="564E3D0E"/>
    <w:multiLevelType w:val="hybridMultilevel"/>
    <w:tmpl w:val="EE56084A"/>
    <w:lvl w:ilvl="0" w:tplc="F654A09E">
      <w:start w:val="1"/>
      <w:numFmt w:val="bullet"/>
      <w:lvlText w:val=""/>
      <w:lvlJc w:val="left"/>
      <w:pPr>
        <w:ind w:left="720" w:hanging="360"/>
      </w:pPr>
      <w:rPr>
        <w:rFonts w:ascii="Symbol" w:hAnsi="Symbol" w:hint="default"/>
      </w:rPr>
    </w:lvl>
    <w:lvl w:ilvl="1" w:tplc="792605D2" w:tentative="1">
      <w:start w:val="1"/>
      <w:numFmt w:val="bullet"/>
      <w:lvlText w:val="o"/>
      <w:lvlJc w:val="left"/>
      <w:pPr>
        <w:ind w:left="1440" w:hanging="360"/>
      </w:pPr>
      <w:rPr>
        <w:rFonts w:ascii="Courier New" w:hAnsi="Courier New" w:cs="Courier New" w:hint="default"/>
      </w:rPr>
    </w:lvl>
    <w:lvl w:ilvl="2" w:tplc="A04C035E" w:tentative="1">
      <w:start w:val="1"/>
      <w:numFmt w:val="bullet"/>
      <w:lvlText w:val=""/>
      <w:lvlJc w:val="left"/>
      <w:pPr>
        <w:ind w:left="2160" w:hanging="360"/>
      </w:pPr>
      <w:rPr>
        <w:rFonts w:ascii="Wingdings" w:hAnsi="Wingdings" w:hint="default"/>
      </w:rPr>
    </w:lvl>
    <w:lvl w:ilvl="3" w:tplc="7B4EFD34" w:tentative="1">
      <w:start w:val="1"/>
      <w:numFmt w:val="bullet"/>
      <w:lvlText w:val=""/>
      <w:lvlJc w:val="left"/>
      <w:pPr>
        <w:ind w:left="2880" w:hanging="360"/>
      </w:pPr>
      <w:rPr>
        <w:rFonts w:ascii="Symbol" w:hAnsi="Symbol" w:hint="default"/>
      </w:rPr>
    </w:lvl>
    <w:lvl w:ilvl="4" w:tplc="61F8F058" w:tentative="1">
      <w:start w:val="1"/>
      <w:numFmt w:val="bullet"/>
      <w:lvlText w:val="o"/>
      <w:lvlJc w:val="left"/>
      <w:pPr>
        <w:ind w:left="3600" w:hanging="360"/>
      </w:pPr>
      <w:rPr>
        <w:rFonts w:ascii="Courier New" w:hAnsi="Courier New" w:cs="Courier New" w:hint="default"/>
      </w:rPr>
    </w:lvl>
    <w:lvl w:ilvl="5" w:tplc="1350429E" w:tentative="1">
      <w:start w:val="1"/>
      <w:numFmt w:val="bullet"/>
      <w:lvlText w:val=""/>
      <w:lvlJc w:val="left"/>
      <w:pPr>
        <w:ind w:left="4320" w:hanging="360"/>
      </w:pPr>
      <w:rPr>
        <w:rFonts w:ascii="Wingdings" w:hAnsi="Wingdings" w:hint="default"/>
      </w:rPr>
    </w:lvl>
    <w:lvl w:ilvl="6" w:tplc="FBFCACD8" w:tentative="1">
      <w:start w:val="1"/>
      <w:numFmt w:val="bullet"/>
      <w:lvlText w:val=""/>
      <w:lvlJc w:val="left"/>
      <w:pPr>
        <w:ind w:left="5040" w:hanging="360"/>
      </w:pPr>
      <w:rPr>
        <w:rFonts w:ascii="Symbol" w:hAnsi="Symbol" w:hint="default"/>
      </w:rPr>
    </w:lvl>
    <w:lvl w:ilvl="7" w:tplc="7E4A78E0" w:tentative="1">
      <w:start w:val="1"/>
      <w:numFmt w:val="bullet"/>
      <w:lvlText w:val="o"/>
      <w:lvlJc w:val="left"/>
      <w:pPr>
        <w:ind w:left="5760" w:hanging="360"/>
      </w:pPr>
      <w:rPr>
        <w:rFonts w:ascii="Courier New" w:hAnsi="Courier New" w:cs="Courier New" w:hint="default"/>
      </w:rPr>
    </w:lvl>
    <w:lvl w:ilvl="8" w:tplc="949A502A" w:tentative="1">
      <w:start w:val="1"/>
      <w:numFmt w:val="bullet"/>
      <w:lvlText w:val=""/>
      <w:lvlJc w:val="left"/>
      <w:pPr>
        <w:ind w:left="6480" w:hanging="360"/>
      </w:pPr>
      <w:rPr>
        <w:rFonts w:ascii="Wingdings" w:hAnsi="Wingdings" w:hint="default"/>
      </w:rPr>
    </w:lvl>
  </w:abstractNum>
  <w:abstractNum w:abstractNumId="31" w15:restartNumberingAfterBreak="0">
    <w:nsid w:val="59724625"/>
    <w:multiLevelType w:val="hybridMultilevel"/>
    <w:tmpl w:val="5DD2CC70"/>
    <w:lvl w:ilvl="0" w:tplc="44CE0854">
      <w:start w:val="1"/>
      <w:numFmt w:val="bullet"/>
      <w:lvlText w:val="o"/>
      <w:lvlJc w:val="left"/>
      <w:pPr>
        <w:ind w:left="2160" w:hanging="360"/>
      </w:pPr>
      <w:rPr>
        <w:rFonts w:ascii="Courier New" w:hAnsi="Courier New" w:cs="Courier New" w:hint="default"/>
      </w:rPr>
    </w:lvl>
    <w:lvl w:ilvl="1" w:tplc="C7582B16" w:tentative="1">
      <w:start w:val="1"/>
      <w:numFmt w:val="bullet"/>
      <w:lvlText w:val="o"/>
      <w:lvlJc w:val="left"/>
      <w:pPr>
        <w:ind w:left="2880" w:hanging="360"/>
      </w:pPr>
      <w:rPr>
        <w:rFonts w:ascii="Courier New" w:hAnsi="Courier New" w:cs="Courier New" w:hint="default"/>
      </w:rPr>
    </w:lvl>
    <w:lvl w:ilvl="2" w:tplc="66B009E0" w:tentative="1">
      <w:start w:val="1"/>
      <w:numFmt w:val="bullet"/>
      <w:lvlText w:val=""/>
      <w:lvlJc w:val="left"/>
      <w:pPr>
        <w:ind w:left="3600" w:hanging="360"/>
      </w:pPr>
      <w:rPr>
        <w:rFonts w:ascii="Wingdings" w:hAnsi="Wingdings" w:hint="default"/>
      </w:rPr>
    </w:lvl>
    <w:lvl w:ilvl="3" w:tplc="186C4CE8" w:tentative="1">
      <w:start w:val="1"/>
      <w:numFmt w:val="bullet"/>
      <w:lvlText w:val=""/>
      <w:lvlJc w:val="left"/>
      <w:pPr>
        <w:ind w:left="4320" w:hanging="360"/>
      </w:pPr>
      <w:rPr>
        <w:rFonts w:ascii="Symbol" w:hAnsi="Symbol" w:hint="default"/>
      </w:rPr>
    </w:lvl>
    <w:lvl w:ilvl="4" w:tplc="F5F427D2" w:tentative="1">
      <w:start w:val="1"/>
      <w:numFmt w:val="bullet"/>
      <w:lvlText w:val="o"/>
      <w:lvlJc w:val="left"/>
      <w:pPr>
        <w:ind w:left="5040" w:hanging="360"/>
      </w:pPr>
      <w:rPr>
        <w:rFonts w:ascii="Courier New" w:hAnsi="Courier New" w:cs="Courier New" w:hint="default"/>
      </w:rPr>
    </w:lvl>
    <w:lvl w:ilvl="5" w:tplc="1AA8204C" w:tentative="1">
      <w:start w:val="1"/>
      <w:numFmt w:val="bullet"/>
      <w:lvlText w:val=""/>
      <w:lvlJc w:val="left"/>
      <w:pPr>
        <w:ind w:left="5760" w:hanging="360"/>
      </w:pPr>
      <w:rPr>
        <w:rFonts w:ascii="Wingdings" w:hAnsi="Wingdings" w:hint="default"/>
      </w:rPr>
    </w:lvl>
    <w:lvl w:ilvl="6" w:tplc="832221B0" w:tentative="1">
      <w:start w:val="1"/>
      <w:numFmt w:val="bullet"/>
      <w:lvlText w:val=""/>
      <w:lvlJc w:val="left"/>
      <w:pPr>
        <w:ind w:left="6480" w:hanging="360"/>
      </w:pPr>
      <w:rPr>
        <w:rFonts w:ascii="Symbol" w:hAnsi="Symbol" w:hint="default"/>
      </w:rPr>
    </w:lvl>
    <w:lvl w:ilvl="7" w:tplc="E7B6E680" w:tentative="1">
      <w:start w:val="1"/>
      <w:numFmt w:val="bullet"/>
      <w:lvlText w:val="o"/>
      <w:lvlJc w:val="left"/>
      <w:pPr>
        <w:ind w:left="7200" w:hanging="360"/>
      </w:pPr>
      <w:rPr>
        <w:rFonts w:ascii="Courier New" w:hAnsi="Courier New" w:cs="Courier New" w:hint="default"/>
      </w:rPr>
    </w:lvl>
    <w:lvl w:ilvl="8" w:tplc="3898685C" w:tentative="1">
      <w:start w:val="1"/>
      <w:numFmt w:val="bullet"/>
      <w:lvlText w:val=""/>
      <w:lvlJc w:val="left"/>
      <w:pPr>
        <w:ind w:left="7920" w:hanging="360"/>
      </w:pPr>
      <w:rPr>
        <w:rFonts w:ascii="Wingdings" w:hAnsi="Wingdings" w:hint="default"/>
      </w:rPr>
    </w:lvl>
  </w:abstractNum>
  <w:abstractNum w:abstractNumId="32" w15:restartNumberingAfterBreak="0">
    <w:nsid w:val="63C374F1"/>
    <w:multiLevelType w:val="hybridMultilevel"/>
    <w:tmpl w:val="A782BDFC"/>
    <w:lvl w:ilvl="0" w:tplc="86B2E9AE">
      <w:start w:val="1"/>
      <w:numFmt w:val="bullet"/>
      <w:lvlText w:val=""/>
      <w:lvlJc w:val="left"/>
      <w:pPr>
        <w:ind w:left="502" w:hanging="360"/>
      </w:pPr>
      <w:rPr>
        <w:rFonts w:ascii="Symbol" w:hAnsi="Symbol" w:hint="default"/>
      </w:rPr>
    </w:lvl>
    <w:lvl w:ilvl="1" w:tplc="43547BA8">
      <w:numFmt w:val="bullet"/>
      <w:lvlText w:val="•"/>
      <w:lvlJc w:val="left"/>
      <w:pPr>
        <w:ind w:left="1440" w:hanging="360"/>
      </w:pPr>
      <w:rPr>
        <w:rFonts w:ascii="Arial" w:eastAsia="Calibri" w:hAnsi="Arial" w:cs="Arial" w:hint="default"/>
      </w:rPr>
    </w:lvl>
    <w:lvl w:ilvl="2" w:tplc="5D120C9C" w:tentative="1">
      <w:start w:val="1"/>
      <w:numFmt w:val="bullet"/>
      <w:lvlText w:val=""/>
      <w:lvlJc w:val="left"/>
      <w:pPr>
        <w:ind w:left="2160" w:hanging="360"/>
      </w:pPr>
      <w:rPr>
        <w:rFonts w:ascii="Wingdings" w:hAnsi="Wingdings" w:hint="default"/>
      </w:rPr>
    </w:lvl>
    <w:lvl w:ilvl="3" w:tplc="3B38427E" w:tentative="1">
      <w:start w:val="1"/>
      <w:numFmt w:val="bullet"/>
      <w:lvlText w:val=""/>
      <w:lvlJc w:val="left"/>
      <w:pPr>
        <w:ind w:left="2880" w:hanging="360"/>
      </w:pPr>
      <w:rPr>
        <w:rFonts w:ascii="Symbol" w:hAnsi="Symbol" w:hint="default"/>
      </w:rPr>
    </w:lvl>
    <w:lvl w:ilvl="4" w:tplc="626C2C12" w:tentative="1">
      <w:start w:val="1"/>
      <w:numFmt w:val="bullet"/>
      <w:lvlText w:val="o"/>
      <w:lvlJc w:val="left"/>
      <w:pPr>
        <w:ind w:left="3600" w:hanging="360"/>
      </w:pPr>
      <w:rPr>
        <w:rFonts w:ascii="Courier New" w:hAnsi="Courier New" w:cs="Courier New" w:hint="default"/>
      </w:rPr>
    </w:lvl>
    <w:lvl w:ilvl="5" w:tplc="F57EAD48" w:tentative="1">
      <w:start w:val="1"/>
      <w:numFmt w:val="bullet"/>
      <w:lvlText w:val=""/>
      <w:lvlJc w:val="left"/>
      <w:pPr>
        <w:ind w:left="4320" w:hanging="360"/>
      </w:pPr>
      <w:rPr>
        <w:rFonts w:ascii="Wingdings" w:hAnsi="Wingdings" w:hint="default"/>
      </w:rPr>
    </w:lvl>
    <w:lvl w:ilvl="6" w:tplc="0D3AE80C" w:tentative="1">
      <w:start w:val="1"/>
      <w:numFmt w:val="bullet"/>
      <w:lvlText w:val=""/>
      <w:lvlJc w:val="left"/>
      <w:pPr>
        <w:ind w:left="5040" w:hanging="360"/>
      </w:pPr>
      <w:rPr>
        <w:rFonts w:ascii="Symbol" w:hAnsi="Symbol" w:hint="default"/>
      </w:rPr>
    </w:lvl>
    <w:lvl w:ilvl="7" w:tplc="CAF6D0C6" w:tentative="1">
      <w:start w:val="1"/>
      <w:numFmt w:val="bullet"/>
      <w:lvlText w:val="o"/>
      <w:lvlJc w:val="left"/>
      <w:pPr>
        <w:ind w:left="5760" w:hanging="360"/>
      </w:pPr>
      <w:rPr>
        <w:rFonts w:ascii="Courier New" w:hAnsi="Courier New" w:cs="Courier New" w:hint="default"/>
      </w:rPr>
    </w:lvl>
    <w:lvl w:ilvl="8" w:tplc="C958C676" w:tentative="1">
      <w:start w:val="1"/>
      <w:numFmt w:val="bullet"/>
      <w:lvlText w:val=""/>
      <w:lvlJc w:val="left"/>
      <w:pPr>
        <w:ind w:left="6480" w:hanging="360"/>
      </w:pPr>
      <w:rPr>
        <w:rFonts w:ascii="Wingdings" w:hAnsi="Wingdings" w:hint="default"/>
      </w:rPr>
    </w:lvl>
  </w:abstractNum>
  <w:abstractNum w:abstractNumId="33" w15:restartNumberingAfterBreak="0">
    <w:nsid w:val="63F759CD"/>
    <w:multiLevelType w:val="hybridMultilevel"/>
    <w:tmpl w:val="6FF22088"/>
    <w:lvl w:ilvl="0" w:tplc="FDB6D120">
      <w:start w:val="1"/>
      <w:numFmt w:val="decimal"/>
      <w:pStyle w:val="Heading4"/>
      <w:lvlText w:val="%1."/>
      <w:lvlJc w:val="left"/>
      <w:pPr>
        <w:ind w:left="360" w:hanging="360"/>
      </w:pPr>
    </w:lvl>
    <w:lvl w:ilvl="1" w:tplc="7278D190" w:tentative="1">
      <w:start w:val="1"/>
      <w:numFmt w:val="lowerLetter"/>
      <w:lvlText w:val="%2."/>
      <w:lvlJc w:val="left"/>
      <w:pPr>
        <w:ind w:left="1080" w:hanging="360"/>
      </w:pPr>
    </w:lvl>
    <w:lvl w:ilvl="2" w:tplc="FFAC2F66" w:tentative="1">
      <w:start w:val="1"/>
      <w:numFmt w:val="lowerRoman"/>
      <w:lvlText w:val="%3."/>
      <w:lvlJc w:val="right"/>
      <w:pPr>
        <w:ind w:left="1800" w:hanging="180"/>
      </w:pPr>
    </w:lvl>
    <w:lvl w:ilvl="3" w:tplc="B09CE15E" w:tentative="1">
      <w:start w:val="1"/>
      <w:numFmt w:val="decimal"/>
      <w:lvlText w:val="%4."/>
      <w:lvlJc w:val="left"/>
      <w:pPr>
        <w:ind w:left="2520" w:hanging="360"/>
      </w:pPr>
    </w:lvl>
    <w:lvl w:ilvl="4" w:tplc="611861BE" w:tentative="1">
      <w:start w:val="1"/>
      <w:numFmt w:val="lowerLetter"/>
      <w:lvlText w:val="%5."/>
      <w:lvlJc w:val="left"/>
      <w:pPr>
        <w:ind w:left="3240" w:hanging="360"/>
      </w:pPr>
    </w:lvl>
    <w:lvl w:ilvl="5" w:tplc="2C7CE740" w:tentative="1">
      <w:start w:val="1"/>
      <w:numFmt w:val="lowerRoman"/>
      <w:lvlText w:val="%6."/>
      <w:lvlJc w:val="right"/>
      <w:pPr>
        <w:ind w:left="3960" w:hanging="180"/>
      </w:pPr>
    </w:lvl>
    <w:lvl w:ilvl="6" w:tplc="2CAC15D8" w:tentative="1">
      <w:start w:val="1"/>
      <w:numFmt w:val="decimal"/>
      <w:lvlText w:val="%7."/>
      <w:lvlJc w:val="left"/>
      <w:pPr>
        <w:ind w:left="4680" w:hanging="360"/>
      </w:pPr>
    </w:lvl>
    <w:lvl w:ilvl="7" w:tplc="6E08849E" w:tentative="1">
      <w:start w:val="1"/>
      <w:numFmt w:val="lowerLetter"/>
      <w:lvlText w:val="%8."/>
      <w:lvlJc w:val="left"/>
      <w:pPr>
        <w:ind w:left="5400" w:hanging="360"/>
      </w:pPr>
    </w:lvl>
    <w:lvl w:ilvl="8" w:tplc="07580B8C" w:tentative="1">
      <w:start w:val="1"/>
      <w:numFmt w:val="lowerRoman"/>
      <w:lvlText w:val="%9."/>
      <w:lvlJc w:val="right"/>
      <w:pPr>
        <w:ind w:left="6120" w:hanging="180"/>
      </w:pPr>
    </w:lvl>
  </w:abstractNum>
  <w:abstractNum w:abstractNumId="34" w15:restartNumberingAfterBreak="0">
    <w:nsid w:val="6BFC7B04"/>
    <w:multiLevelType w:val="hybridMultilevel"/>
    <w:tmpl w:val="C9F452C8"/>
    <w:lvl w:ilvl="0" w:tplc="FE440FEC">
      <w:start w:val="1"/>
      <w:numFmt w:val="decimal"/>
      <w:lvlText w:val="%1."/>
      <w:lvlJc w:val="left"/>
      <w:pPr>
        <w:ind w:left="930" w:hanging="570"/>
      </w:pPr>
      <w:rPr>
        <w:rFonts w:hint="default"/>
      </w:rPr>
    </w:lvl>
    <w:lvl w:ilvl="1" w:tplc="398AD44C">
      <w:start w:val="1"/>
      <w:numFmt w:val="lowerLetter"/>
      <w:lvlText w:val="%2."/>
      <w:lvlJc w:val="left"/>
      <w:pPr>
        <w:ind w:left="1440" w:hanging="360"/>
      </w:pPr>
    </w:lvl>
    <w:lvl w:ilvl="2" w:tplc="F024336E" w:tentative="1">
      <w:start w:val="1"/>
      <w:numFmt w:val="lowerRoman"/>
      <w:lvlText w:val="%3."/>
      <w:lvlJc w:val="right"/>
      <w:pPr>
        <w:ind w:left="2160" w:hanging="180"/>
      </w:pPr>
    </w:lvl>
    <w:lvl w:ilvl="3" w:tplc="6292F412" w:tentative="1">
      <w:start w:val="1"/>
      <w:numFmt w:val="decimal"/>
      <w:lvlText w:val="%4."/>
      <w:lvlJc w:val="left"/>
      <w:pPr>
        <w:ind w:left="2880" w:hanging="360"/>
      </w:pPr>
    </w:lvl>
    <w:lvl w:ilvl="4" w:tplc="1DF21F30" w:tentative="1">
      <w:start w:val="1"/>
      <w:numFmt w:val="lowerLetter"/>
      <w:lvlText w:val="%5."/>
      <w:lvlJc w:val="left"/>
      <w:pPr>
        <w:ind w:left="3600" w:hanging="360"/>
      </w:pPr>
    </w:lvl>
    <w:lvl w:ilvl="5" w:tplc="F2D6955E" w:tentative="1">
      <w:start w:val="1"/>
      <w:numFmt w:val="lowerRoman"/>
      <w:lvlText w:val="%6."/>
      <w:lvlJc w:val="right"/>
      <w:pPr>
        <w:ind w:left="4320" w:hanging="180"/>
      </w:pPr>
    </w:lvl>
    <w:lvl w:ilvl="6" w:tplc="B164FC28" w:tentative="1">
      <w:start w:val="1"/>
      <w:numFmt w:val="decimal"/>
      <w:lvlText w:val="%7."/>
      <w:lvlJc w:val="left"/>
      <w:pPr>
        <w:ind w:left="5040" w:hanging="360"/>
      </w:pPr>
    </w:lvl>
    <w:lvl w:ilvl="7" w:tplc="1AD81566" w:tentative="1">
      <w:start w:val="1"/>
      <w:numFmt w:val="lowerLetter"/>
      <w:lvlText w:val="%8."/>
      <w:lvlJc w:val="left"/>
      <w:pPr>
        <w:ind w:left="5760" w:hanging="360"/>
      </w:pPr>
    </w:lvl>
    <w:lvl w:ilvl="8" w:tplc="43929E3E" w:tentative="1">
      <w:start w:val="1"/>
      <w:numFmt w:val="lowerRoman"/>
      <w:lvlText w:val="%9."/>
      <w:lvlJc w:val="right"/>
      <w:pPr>
        <w:ind w:left="6480" w:hanging="180"/>
      </w:pPr>
    </w:lvl>
  </w:abstractNum>
  <w:abstractNum w:abstractNumId="35" w15:restartNumberingAfterBreak="0">
    <w:nsid w:val="712C6B77"/>
    <w:multiLevelType w:val="hybridMultilevel"/>
    <w:tmpl w:val="808278F0"/>
    <w:lvl w:ilvl="0" w:tplc="86AACBF4">
      <w:start w:val="1"/>
      <w:numFmt w:val="decimal"/>
      <w:pStyle w:val="Heading3-numbered"/>
      <w:lvlText w:val="%1."/>
      <w:lvlJc w:val="left"/>
      <w:pPr>
        <w:ind w:left="360" w:hanging="360"/>
      </w:pPr>
      <w:rPr>
        <w:b/>
        <w:i w:val="0"/>
        <w:color w:val="auto"/>
        <w:sz w:val="28"/>
        <w:szCs w:val="28"/>
      </w:rPr>
    </w:lvl>
    <w:lvl w:ilvl="1" w:tplc="E882790E" w:tentative="1">
      <w:start w:val="1"/>
      <w:numFmt w:val="lowerLetter"/>
      <w:lvlText w:val="%2."/>
      <w:lvlJc w:val="left"/>
      <w:pPr>
        <w:ind w:left="1080" w:hanging="360"/>
      </w:pPr>
    </w:lvl>
    <w:lvl w:ilvl="2" w:tplc="AA5AAFAC" w:tentative="1">
      <w:start w:val="1"/>
      <w:numFmt w:val="lowerRoman"/>
      <w:lvlText w:val="%3."/>
      <w:lvlJc w:val="right"/>
      <w:pPr>
        <w:ind w:left="1800" w:hanging="180"/>
      </w:pPr>
    </w:lvl>
    <w:lvl w:ilvl="3" w:tplc="C51A0752" w:tentative="1">
      <w:start w:val="1"/>
      <w:numFmt w:val="decimal"/>
      <w:lvlText w:val="%4."/>
      <w:lvlJc w:val="left"/>
      <w:pPr>
        <w:ind w:left="2520" w:hanging="360"/>
      </w:pPr>
    </w:lvl>
    <w:lvl w:ilvl="4" w:tplc="31784DBE" w:tentative="1">
      <w:start w:val="1"/>
      <w:numFmt w:val="lowerLetter"/>
      <w:lvlText w:val="%5."/>
      <w:lvlJc w:val="left"/>
      <w:pPr>
        <w:ind w:left="3240" w:hanging="360"/>
      </w:pPr>
    </w:lvl>
    <w:lvl w:ilvl="5" w:tplc="D7AA2E6C" w:tentative="1">
      <w:start w:val="1"/>
      <w:numFmt w:val="lowerRoman"/>
      <w:lvlText w:val="%6."/>
      <w:lvlJc w:val="right"/>
      <w:pPr>
        <w:ind w:left="3960" w:hanging="180"/>
      </w:pPr>
    </w:lvl>
    <w:lvl w:ilvl="6" w:tplc="2A0A108A" w:tentative="1">
      <w:start w:val="1"/>
      <w:numFmt w:val="decimal"/>
      <w:lvlText w:val="%7."/>
      <w:lvlJc w:val="left"/>
      <w:pPr>
        <w:ind w:left="4680" w:hanging="360"/>
      </w:pPr>
    </w:lvl>
    <w:lvl w:ilvl="7" w:tplc="EC5C03A6" w:tentative="1">
      <w:start w:val="1"/>
      <w:numFmt w:val="lowerLetter"/>
      <w:lvlText w:val="%8."/>
      <w:lvlJc w:val="left"/>
      <w:pPr>
        <w:ind w:left="5400" w:hanging="360"/>
      </w:pPr>
    </w:lvl>
    <w:lvl w:ilvl="8" w:tplc="3BFC7D72" w:tentative="1">
      <w:start w:val="1"/>
      <w:numFmt w:val="lowerRoman"/>
      <w:lvlText w:val="%9."/>
      <w:lvlJc w:val="right"/>
      <w:pPr>
        <w:ind w:left="6120" w:hanging="180"/>
      </w:pPr>
    </w:lvl>
  </w:abstractNum>
  <w:num w:numId="1">
    <w:abstractNumId w:val="23"/>
  </w:num>
  <w:num w:numId="2">
    <w:abstractNumId w:val="27"/>
  </w:num>
  <w:num w:numId="3">
    <w:abstractNumId w:val="35"/>
  </w:num>
  <w:num w:numId="4">
    <w:abstractNumId w:val="33"/>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2"/>
  </w:num>
  <w:num w:numId="27">
    <w:abstractNumId w:val="24"/>
  </w:num>
  <w:num w:numId="28">
    <w:abstractNumId w:val="28"/>
  </w:num>
  <w:num w:numId="29">
    <w:abstractNumId w:val="26"/>
  </w:num>
  <w:num w:numId="30">
    <w:abstractNumId w:val="29"/>
  </w:num>
  <w:num w:numId="31">
    <w:abstractNumId w:val="20"/>
  </w:num>
  <w:num w:numId="32">
    <w:abstractNumId w:val="30"/>
  </w:num>
  <w:num w:numId="33">
    <w:abstractNumId w:val="31"/>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2"/>
    <w:rsid w:val="007B1E59"/>
    <w:rsid w:val="00BF5007"/>
    <w:rsid w:val="00C54E82"/>
    <w:rsid w:val="00E92D4E"/>
    <w:rsid w:val="00F0743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E555F-55B2-4EA5-8E91-2DC834CB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8CC8-401C-4229-9ADF-7389D763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110</TotalTime>
  <Pages>16</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26</cp:revision>
  <cp:lastPrinted>2018-09-04T07:45:00Z</cp:lastPrinted>
  <dcterms:created xsi:type="dcterms:W3CDTF">2018-09-04T06:56:00Z</dcterms:created>
  <dcterms:modified xsi:type="dcterms:W3CDTF">2018-09-05T09:25:00Z</dcterms:modified>
</cp:coreProperties>
</file>